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FF19" w14:textId="77777777" w:rsidR="00A56DF7" w:rsidRPr="00781608" w:rsidRDefault="00A56DF7" w:rsidP="00E85684">
      <w:pPr>
        <w:pStyle w:val="ydp360db5b4yiv6248630976msolistparagraph"/>
        <w:spacing w:beforeAutospacing="0" w:after="240" w:afterAutospacing="0" w:line="276" w:lineRule="auto"/>
        <w:jc w:val="both"/>
        <w:rPr>
          <w:rFonts w:asciiTheme="minorHAnsi" w:hAnsiTheme="minorHAnsi" w:cstheme="minorHAnsi"/>
          <w:sz w:val="24"/>
          <w:szCs w:val="24"/>
        </w:rPr>
      </w:pPr>
      <w:r w:rsidRPr="00781608">
        <w:rPr>
          <w:rFonts w:asciiTheme="minorHAnsi" w:hAnsiTheme="minorHAnsi" w:cstheme="minorHAnsi"/>
          <w:b/>
          <w:bCs/>
          <w:sz w:val="24"/>
          <w:szCs w:val="24"/>
        </w:rPr>
        <w:t>True-Up for FY 2020-21</w:t>
      </w:r>
    </w:p>
    <w:p w14:paraId="44686BBA" w14:textId="77777777" w:rsidR="00A56DF7" w:rsidRPr="00781608" w:rsidRDefault="00A56DF7" w:rsidP="00E85684">
      <w:pPr>
        <w:pStyle w:val="ydp360db5b4yiv6248630976msolistparagraph"/>
        <w:numPr>
          <w:ilvl w:val="0"/>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hAnsiTheme="minorHAnsi" w:cstheme="minorHAnsi"/>
          <w:sz w:val="24"/>
          <w:szCs w:val="24"/>
        </w:rPr>
        <w:t xml:space="preserve">Please submit CAG Certificate in respect to Annual Accounts for FY 2020-21. </w:t>
      </w:r>
    </w:p>
    <w:p w14:paraId="74F98BF8" w14:textId="77777777" w:rsidR="00F714FC" w:rsidRPr="00781608" w:rsidRDefault="00F714FC" w:rsidP="001E7990">
      <w:pPr>
        <w:spacing w:line="276" w:lineRule="auto"/>
        <w:ind w:left="360" w:firstLine="360"/>
        <w:jc w:val="both"/>
        <w:rPr>
          <w:rFonts w:asciiTheme="minorHAnsi" w:hAnsiTheme="minorHAnsi" w:cstheme="minorHAnsi"/>
          <w:color w:val="000000"/>
          <w:lang w:bidi="gu-IN"/>
        </w:rPr>
      </w:pPr>
      <w:r w:rsidRPr="00781608">
        <w:rPr>
          <w:rFonts w:asciiTheme="minorHAnsi" w:eastAsia="Times New Roman" w:hAnsiTheme="minorHAnsi" w:cstheme="minorHAnsi"/>
          <w:b/>
          <w:bCs/>
          <w:sz w:val="24"/>
          <w:szCs w:val="24"/>
        </w:rPr>
        <w:t>Compliance:</w:t>
      </w:r>
      <w:r w:rsidR="001E7990" w:rsidRPr="00781608">
        <w:rPr>
          <w:rFonts w:asciiTheme="minorHAnsi" w:hAnsiTheme="minorHAnsi" w:cstheme="minorHAnsi"/>
          <w:color w:val="000000"/>
          <w:lang w:bidi="gu-IN"/>
        </w:rPr>
        <w:t xml:space="preserve"> </w:t>
      </w:r>
      <w:r w:rsidR="002408FB" w:rsidRPr="00781608">
        <w:rPr>
          <w:rFonts w:asciiTheme="minorHAnsi" w:hAnsiTheme="minorHAnsi" w:cstheme="minorHAnsi"/>
          <w:color w:val="000000"/>
          <w:lang w:bidi="gu-IN"/>
        </w:rPr>
        <w:t xml:space="preserve">Copy of </w:t>
      </w:r>
      <w:r w:rsidR="001E7990" w:rsidRPr="00781608">
        <w:rPr>
          <w:rFonts w:asciiTheme="minorHAnsi" w:hAnsiTheme="minorHAnsi" w:cstheme="minorHAnsi"/>
          <w:color w:val="000000"/>
          <w:lang w:bidi="gu-IN"/>
        </w:rPr>
        <w:t xml:space="preserve">CAG Certificate is appended herewith as </w:t>
      </w:r>
      <w:r w:rsidR="00E50307" w:rsidRPr="00781608">
        <w:rPr>
          <w:rFonts w:asciiTheme="minorHAnsi" w:hAnsiTheme="minorHAnsi" w:cstheme="minorHAnsi"/>
          <w:b/>
          <w:bCs/>
          <w:color w:val="000000"/>
          <w:lang w:bidi="gu-IN"/>
        </w:rPr>
        <w:t>Annexure-A</w:t>
      </w:r>
      <w:r w:rsidR="001E7990" w:rsidRPr="00781608">
        <w:rPr>
          <w:rFonts w:asciiTheme="minorHAnsi" w:hAnsiTheme="minorHAnsi" w:cstheme="minorHAnsi"/>
          <w:b/>
          <w:bCs/>
          <w:color w:val="000000"/>
          <w:lang w:bidi="gu-IN"/>
        </w:rPr>
        <w:t>.</w:t>
      </w:r>
    </w:p>
    <w:p w14:paraId="247B9B49" w14:textId="77777777" w:rsidR="00A56DF7" w:rsidRPr="00781608" w:rsidRDefault="00A56DF7" w:rsidP="001E7990">
      <w:pPr>
        <w:pStyle w:val="ydp360db5b4yiv6248630976msolistparagraph"/>
        <w:numPr>
          <w:ilvl w:val="0"/>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t xml:space="preserve">On studying the Excel sheet submitted along with soft copies of the Petition regarding projection of sales for various categories, it is observed that slab-wise break up for each category of consumer has been worked out based on certain figures, which do not tally with the figures of actual sales for FY 2019-20 or FY 2020-21 or any other figure. Petitioner is required to explain the base figure of sales for each category of consumer on which slab-wise consumption has been projected. </w:t>
      </w:r>
    </w:p>
    <w:p w14:paraId="35011277" w14:textId="5FA52153" w:rsidR="00385AE5" w:rsidRPr="00781608" w:rsidRDefault="00836677" w:rsidP="00E85684">
      <w:pPr>
        <w:pStyle w:val="ydp360db5b4yiv6248630976msolistparagraph"/>
        <w:spacing w:beforeAutospacing="0" w:after="200" w:afterAutospacing="0" w:line="276" w:lineRule="auto"/>
        <w:ind w:left="720"/>
        <w:jc w:val="both"/>
        <w:rPr>
          <w:rFonts w:asciiTheme="minorHAnsi" w:hAnsiTheme="minorHAnsi" w:cstheme="minorHAnsi"/>
          <w:sz w:val="24"/>
          <w:szCs w:val="24"/>
        </w:rPr>
      </w:pPr>
      <w:r w:rsidRPr="00D07242">
        <w:rPr>
          <w:rFonts w:asciiTheme="minorHAnsi" w:eastAsia="Times New Roman" w:hAnsiTheme="minorHAnsi" w:cstheme="minorHAnsi"/>
          <w:b/>
          <w:bCs/>
          <w:sz w:val="24"/>
          <w:szCs w:val="24"/>
        </w:rPr>
        <w:t>Compliance</w:t>
      </w:r>
      <w:r w:rsidR="00385AE5" w:rsidRPr="00D07242">
        <w:rPr>
          <w:rFonts w:asciiTheme="minorHAnsi" w:eastAsia="Times New Roman" w:hAnsiTheme="minorHAnsi" w:cstheme="minorHAnsi"/>
          <w:b/>
          <w:bCs/>
          <w:sz w:val="24"/>
          <w:szCs w:val="24"/>
        </w:rPr>
        <w:t>:</w:t>
      </w:r>
      <w:r w:rsidR="00385AE5" w:rsidRPr="00D07242">
        <w:rPr>
          <w:rFonts w:asciiTheme="minorHAnsi" w:eastAsia="Times New Roman" w:hAnsiTheme="minorHAnsi" w:cstheme="minorHAnsi"/>
          <w:sz w:val="24"/>
          <w:szCs w:val="24"/>
        </w:rPr>
        <w:t xml:space="preserve"> Revised Excel working is </w:t>
      </w:r>
      <w:r w:rsidR="002B6B67" w:rsidRPr="00D07242">
        <w:rPr>
          <w:rFonts w:asciiTheme="minorHAnsi" w:eastAsia="Times New Roman" w:hAnsiTheme="minorHAnsi" w:cstheme="minorHAnsi"/>
          <w:sz w:val="24"/>
          <w:szCs w:val="24"/>
        </w:rPr>
        <w:t xml:space="preserve">for consists of all </w:t>
      </w:r>
      <w:proofErr w:type="spellStart"/>
      <w:r w:rsidR="002B6B67" w:rsidRPr="00D07242">
        <w:rPr>
          <w:rFonts w:asciiTheme="minorHAnsi" w:eastAsia="Times New Roman" w:hAnsiTheme="minorHAnsi" w:cstheme="minorHAnsi"/>
          <w:sz w:val="24"/>
          <w:szCs w:val="24"/>
        </w:rPr>
        <w:t>Discoms</w:t>
      </w:r>
      <w:proofErr w:type="spellEnd"/>
      <w:r w:rsidR="002B6B67" w:rsidRPr="00D07242">
        <w:rPr>
          <w:rFonts w:asciiTheme="minorHAnsi" w:eastAsia="Times New Roman" w:hAnsiTheme="minorHAnsi" w:cstheme="minorHAnsi"/>
          <w:sz w:val="24"/>
          <w:szCs w:val="24"/>
        </w:rPr>
        <w:t xml:space="preserve"> data is </w:t>
      </w:r>
      <w:r w:rsidR="00385AE5" w:rsidRPr="00D07242">
        <w:rPr>
          <w:rFonts w:asciiTheme="minorHAnsi" w:eastAsia="Times New Roman" w:hAnsiTheme="minorHAnsi" w:cstheme="minorHAnsi"/>
          <w:sz w:val="24"/>
          <w:szCs w:val="24"/>
        </w:rPr>
        <w:t xml:space="preserve">provided vide mail dated </w:t>
      </w:r>
      <w:r w:rsidR="00D07242" w:rsidRPr="00D07242">
        <w:rPr>
          <w:rFonts w:asciiTheme="minorHAnsi" w:eastAsia="Times New Roman" w:hAnsiTheme="minorHAnsi" w:cstheme="minorHAnsi"/>
          <w:b/>
          <w:bCs/>
          <w:sz w:val="24"/>
          <w:szCs w:val="24"/>
        </w:rPr>
        <w:t>15</w:t>
      </w:r>
      <w:r w:rsidR="00385AE5" w:rsidRPr="00D07242">
        <w:rPr>
          <w:rFonts w:asciiTheme="minorHAnsi" w:eastAsia="Times New Roman" w:hAnsiTheme="minorHAnsi" w:cstheme="minorHAnsi"/>
          <w:b/>
          <w:bCs/>
          <w:sz w:val="24"/>
          <w:szCs w:val="24"/>
        </w:rPr>
        <w:t>/01/2022.</w:t>
      </w:r>
    </w:p>
    <w:p w14:paraId="052E3BFF" w14:textId="77777777" w:rsidR="00A56DF7" w:rsidRPr="00781608" w:rsidRDefault="00A56DF7" w:rsidP="00E85684">
      <w:pPr>
        <w:pStyle w:val="ydp360db5b4yiv6248630976msolistparagraph"/>
        <w:numPr>
          <w:ilvl w:val="0"/>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t xml:space="preserve">Significant increase in the sales is observed in LT categories (RGP, GLP, Agriculture-Metered and Agriculture-Unmetered) as compared to approved sales.  UGVCL should submit reason for the same. </w:t>
      </w:r>
    </w:p>
    <w:p w14:paraId="59C0542A" w14:textId="77777777" w:rsidR="0012559C" w:rsidRPr="00781608" w:rsidRDefault="00836677" w:rsidP="00E85684">
      <w:pPr>
        <w:pStyle w:val="ydp360db5b4yiv6248630976msolistparagraph"/>
        <w:spacing w:beforeAutospacing="0" w:after="200" w:afterAutospacing="0" w:line="276" w:lineRule="auto"/>
        <w:ind w:left="720"/>
        <w:jc w:val="both"/>
        <w:rPr>
          <w:rFonts w:asciiTheme="minorHAnsi" w:hAnsiTheme="minorHAnsi" w:cstheme="minorHAnsi"/>
          <w:sz w:val="24"/>
          <w:szCs w:val="24"/>
        </w:rPr>
      </w:pPr>
      <w:r w:rsidRPr="00781608">
        <w:rPr>
          <w:rFonts w:asciiTheme="minorHAnsi" w:hAnsiTheme="minorHAnsi" w:cstheme="minorHAnsi"/>
          <w:b/>
          <w:bCs/>
          <w:sz w:val="24"/>
          <w:szCs w:val="24"/>
        </w:rPr>
        <w:t>Compliance</w:t>
      </w:r>
      <w:r w:rsidR="00385AE5" w:rsidRPr="00781608">
        <w:rPr>
          <w:rFonts w:asciiTheme="minorHAnsi" w:hAnsiTheme="minorHAnsi" w:cstheme="minorHAnsi"/>
          <w:b/>
          <w:bCs/>
          <w:sz w:val="24"/>
          <w:szCs w:val="24"/>
        </w:rPr>
        <w:t>:</w:t>
      </w:r>
      <w:r w:rsidR="00385AE5" w:rsidRPr="00781608">
        <w:rPr>
          <w:rFonts w:asciiTheme="minorHAnsi" w:hAnsiTheme="minorHAnsi" w:cstheme="minorHAnsi"/>
          <w:sz w:val="24"/>
          <w:szCs w:val="24"/>
        </w:rPr>
        <w:t xml:space="preserve"> UGVCL submits that due to COVID-19, lockdown was imposed in the Country and majority of the people were staying at home for higher number of hours in comparison to past which </w:t>
      </w:r>
      <w:r w:rsidR="00D15BCF" w:rsidRPr="00781608">
        <w:rPr>
          <w:rFonts w:asciiTheme="minorHAnsi" w:hAnsiTheme="minorHAnsi" w:cstheme="minorHAnsi"/>
          <w:sz w:val="24"/>
          <w:szCs w:val="24"/>
        </w:rPr>
        <w:t>seems</w:t>
      </w:r>
      <w:r w:rsidR="00385AE5" w:rsidRPr="00781608">
        <w:rPr>
          <w:rFonts w:asciiTheme="minorHAnsi" w:hAnsiTheme="minorHAnsi" w:cstheme="minorHAnsi"/>
          <w:sz w:val="24"/>
          <w:szCs w:val="24"/>
        </w:rPr>
        <w:t xml:space="preserve"> major reason for increase in RGP consumption.</w:t>
      </w:r>
      <w:r w:rsidR="00150326" w:rsidRPr="00781608">
        <w:rPr>
          <w:rFonts w:asciiTheme="minorHAnsi" w:hAnsiTheme="minorHAnsi" w:cstheme="minorHAnsi"/>
          <w:sz w:val="24"/>
          <w:szCs w:val="24"/>
        </w:rPr>
        <w:t xml:space="preserve"> It is also important to note that for FY 2019-20, the Hon’ble Commission has approved sale of 2418 MU whereas actual sale was 2463 MU and hence base is on higher side. Growth in sales for FY 2020-21 over FY 2019-20 was approved at 7.26% and actual growth rate is 7.93% which is near to approval. </w:t>
      </w:r>
    </w:p>
    <w:p w14:paraId="4269C7BE" w14:textId="77777777" w:rsidR="0012559C" w:rsidRPr="00781608" w:rsidRDefault="00385AE5" w:rsidP="00E85684">
      <w:pPr>
        <w:pStyle w:val="ydp360db5b4yiv6248630976msolistparagraph"/>
        <w:spacing w:beforeAutospacing="0" w:after="200" w:afterAutospacing="0" w:line="276" w:lineRule="auto"/>
        <w:ind w:left="720"/>
        <w:jc w:val="both"/>
        <w:rPr>
          <w:rFonts w:asciiTheme="minorHAnsi" w:hAnsiTheme="minorHAnsi" w:cstheme="minorHAnsi"/>
          <w:sz w:val="24"/>
          <w:szCs w:val="24"/>
        </w:rPr>
      </w:pPr>
      <w:r w:rsidRPr="00781608">
        <w:rPr>
          <w:rFonts w:asciiTheme="minorHAnsi" w:hAnsiTheme="minorHAnsi" w:cstheme="minorHAnsi"/>
          <w:sz w:val="24"/>
          <w:szCs w:val="24"/>
        </w:rPr>
        <w:t xml:space="preserve">The Hon’ble Commission has approved </w:t>
      </w:r>
      <w:r w:rsidR="0012559C" w:rsidRPr="00781608">
        <w:rPr>
          <w:rFonts w:asciiTheme="minorHAnsi" w:hAnsiTheme="minorHAnsi" w:cstheme="minorHAnsi"/>
          <w:sz w:val="24"/>
          <w:szCs w:val="24"/>
        </w:rPr>
        <w:t xml:space="preserve">sale of 54 MU and 58 MU for GLP and Street light category respectively. Subsequently, the Hon’ble Commission has </w:t>
      </w:r>
      <w:r w:rsidRPr="00781608">
        <w:rPr>
          <w:rFonts w:asciiTheme="minorHAnsi" w:hAnsiTheme="minorHAnsi" w:cstheme="minorHAnsi"/>
          <w:sz w:val="24"/>
          <w:szCs w:val="24"/>
        </w:rPr>
        <w:t xml:space="preserve">merged </w:t>
      </w:r>
      <w:r w:rsidR="0012559C" w:rsidRPr="00781608">
        <w:rPr>
          <w:rFonts w:asciiTheme="minorHAnsi" w:hAnsiTheme="minorHAnsi" w:cstheme="minorHAnsi"/>
          <w:sz w:val="24"/>
          <w:szCs w:val="24"/>
        </w:rPr>
        <w:t>streetlight</w:t>
      </w:r>
      <w:r w:rsidRPr="00781608">
        <w:rPr>
          <w:rFonts w:asciiTheme="minorHAnsi" w:hAnsiTheme="minorHAnsi" w:cstheme="minorHAnsi"/>
          <w:sz w:val="24"/>
          <w:szCs w:val="24"/>
        </w:rPr>
        <w:t xml:space="preserve"> category with GLP category and hence sales </w:t>
      </w:r>
      <w:r w:rsidR="0012559C" w:rsidRPr="00781608">
        <w:rPr>
          <w:rFonts w:asciiTheme="minorHAnsi" w:hAnsiTheme="minorHAnsi" w:cstheme="minorHAnsi"/>
          <w:sz w:val="24"/>
          <w:szCs w:val="24"/>
        </w:rPr>
        <w:t xml:space="preserve">shown in </w:t>
      </w:r>
      <w:r w:rsidRPr="00781608">
        <w:rPr>
          <w:rFonts w:asciiTheme="minorHAnsi" w:hAnsiTheme="minorHAnsi" w:cstheme="minorHAnsi"/>
          <w:sz w:val="24"/>
          <w:szCs w:val="24"/>
        </w:rPr>
        <w:t>GLP category</w:t>
      </w:r>
      <w:r w:rsidR="0012559C" w:rsidRPr="00781608">
        <w:rPr>
          <w:rFonts w:asciiTheme="minorHAnsi" w:hAnsiTheme="minorHAnsi" w:cstheme="minorHAnsi"/>
          <w:sz w:val="24"/>
          <w:szCs w:val="24"/>
        </w:rPr>
        <w:t xml:space="preserve"> seems on higher side when it is compared with approved GLP sales. In combine, actual sales of GLP category </w:t>
      </w:r>
      <w:proofErr w:type="gramStart"/>
      <w:r w:rsidR="0012559C" w:rsidRPr="00781608">
        <w:rPr>
          <w:rFonts w:asciiTheme="minorHAnsi" w:hAnsiTheme="minorHAnsi" w:cstheme="minorHAnsi"/>
          <w:sz w:val="24"/>
          <w:szCs w:val="24"/>
        </w:rPr>
        <w:t>is</w:t>
      </w:r>
      <w:proofErr w:type="gramEnd"/>
      <w:r w:rsidR="0012559C" w:rsidRPr="00781608">
        <w:rPr>
          <w:rFonts w:asciiTheme="minorHAnsi" w:hAnsiTheme="minorHAnsi" w:cstheme="minorHAnsi"/>
          <w:sz w:val="24"/>
          <w:szCs w:val="24"/>
        </w:rPr>
        <w:t xml:space="preserve"> lower than approved sales under GLP (GLP + Streetlight) category.</w:t>
      </w:r>
    </w:p>
    <w:p w14:paraId="6F20A0DB" w14:textId="77777777" w:rsidR="00385AE5" w:rsidRPr="00781608" w:rsidRDefault="0090799F" w:rsidP="00E85684">
      <w:pPr>
        <w:pStyle w:val="ydp360db5b4yiv6248630976msolistparagraph"/>
        <w:spacing w:beforeAutospacing="0" w:after="200" w:afterAutospacing="0" w:line="276" w:lineRule="auto"/>
        <w:ind w:left="720"/>
        <w:jc w:val="both"/>
        <w:rPr>
          <w:rFonts w:asciiTheme="minorHAnsi" w:hAnsiTheme="minorHAnsi" w:cstheme="minorHAnsi"/>
          <w:sz w:val="24"/>
          <w:szCs w:val="24"/>
        </w:rPr>
      </w:pPr>
      <w:r w:rsidRPr="00781608">
        <w:rPr>
          <w:rFonts w:asciiTheme="minorHAnsi" w:hAnsiTheme="minorHAnsi" w:cstheme="minorHAnsi"/>
          <w:sz w:val="24"/>
          <w:szCs w:val="24"/>
        </w:rPr>
        <w:t xml:space="preserve">Increase in </w:t>
      </w:r>
      <w:r w:rsidR="0012559C" w:rsidRPr="00781608">
        <w:rPr>
          <w:rFonts w:asciiTheme="minorHAnsi" w:hAnsiTheme="minorHAnsi" w:cstheme="minorHAnsi"/>
          <w:sz w:val="24"/>
          <w:szCs w:val="24"/>
        </w:rPr>
        <w:t>agriculture consum</w:t>
      </w:r>
      <w:r w:rsidR="00727CF1" w:rsidRPr="00781608">
        <w:rPr>
          <w:rFonts w:asciiTheme="minorHAnsi" w:hAnsiTheme="minorHAnsi" w:cstheme="minorHAnsi"/>
          <w:sz w:val="24"/>
          <w:szCs w:val="24"/>
        </w:rPr>
        <w:t>ption</w:t>
      </w:r>
      <w:r w:rsidR="0012559C" w:rsidRPr="00781608">
        <w:rPr>
          <w:rFonts w:asciiTheme="minorHAnsi" w:hAnsiTheme="minorHAnsi" w:cstheme="minorHAnsi"/>
          <w:sz w:val="24"/>
          <w:szCs w:val="24"/>
        </w:rPr>
        <w:t xml:space="preserve"> is depend</w:t>
      </w:r>
      <w:r w:rsidR="00727CF1" w:rsidRPr="00781608">
        <w:rPr>
          <w:rFonts w:asciiTheme="minorHAnsi" w:hAnsiTheme="minorHAnsi" w:cstheme="minorHAnsi"/>
          <w:sz w:val="24"/>
          <w:szCs w:val="24"/>
        </w:rPr>
        <w:t>s</w:t>
      </w:r>
      <w:r w:rsidR="0012559C" w:rsidRPr="00781608">
        <w:rPr>
          <w:rFonts w:asciiTheme="minorHAnsi" w:hAnsiTheme="minorHAnsi" w:cstheme="minorHAnsi"/>
          <w:sz w:val="24"/>
          <w:szCs w:val="24"/>
        </w:rPr>
        <w:t xml:space="preserve"> on</w:t>
      </w:r>
      <w:r w:rsidRPr="00781608">
        <w:rPr>
          <w:rFonts w:asciiTheme="minorHAnsi" w:hAnsiTheme="minorHAnsi" w:cstheme="minorHAnsi"/>
          <w:sz w:val="24"/>
          <w:szCs w:val="24"/>
        </w:rPr>
        <w:t xml:space="preserve"> release of no. of connections, rain during monsoon season and number of hours of power supply. It is submit</w:t>
      </w:r>
      <w:r w:rsidR="00727CF1" w:rsidRPr="00781608">
        <w:rPr>
          <w:rFonts w:asciiTheme="minorHAnsi" w:hAnsiTheme="minorHAnsi" w:cstheme="minorHAnsi"/>
          <w:sz w:val="24"/>
          <w:szCs w:val="24"/>
        </w:rPr>
        <w:t>ted</w:t>
      </w:r>
      <w:r w:rsidRPr="00781608">
        <w:rPr>
          <w:rFonts w:asciiTheme="minorHAnsi" w:hAnsiTheme="minorHAnsi" w:cstheme="minorHAnsi"/>
          <w:sz w:val="24"/>
          <w:szCs w:val="24"/>
        </w:rPr>
        <w:t xml:space="preserve"> that at the time of approval of sale for agriculture category, UGVCL has envisaged that </w:t>
      </w:r>
      <w:r w:rsidR="000B7455" w:rsidRPr="00781608">
        <w:rPr>
          <w:rFonts w:asciiTheme="minorHAnsi" w:hAnsiTheme="minorHAnsi" w:cstheme="minorHAnsi"/>
          <w:sz w:val="24"/>
          <w:szCs w:val="24"/>
        </w:rPr>
        <w:t xml:space="preserve">it </w:t>
      </w:r>
      <w:r w:rsidR="00727CF1" w:rsidRPr="00781608">
        <w:rPr>
          <w:rFonts w:asciiTheme="minorHAnsi" w:hAnsiTheme="minorHAnsi" w:cstheme="minorHAnsi"/>
          <w:sz w:val="24"/>
          <w:szCs w:val="24"/>
        </w:rPr>
        <w:t xml:space="preserve">will release </w:t>
      </w:r>
      <w:r w:rsidRPr="00781608">
        <w:rPr>
          <w:rFonts w:asciiTheme="minorHAnsi" w:hAnsiTheme="minorHAnsi" w:cstheme="minorHAnsi"/>
          <w:sz w:val="24"/>
          <w:szCs w:val="24"/>
        </w:rPr>
        <w:t xml:space="preserve">around </w:t>
      </w:r>
      <w:r w:rsidR="00727CF1" w:rsidRPr="00781608">
        <w:rPr>
          <w:rFonts w:asciiTheme="minorHAnsi" w:hAnsiTheme="minorHAnsi" w:cstheme="minorHAnsi"/>
          <w:sz w:val="24"/>
          <w:szCs w:val="24"/>
        </w:rPr>
        <w:t>32</w:t>
      </w:r>
      <w:r w:rsidR="00033A56" w:rsidRPr="00781608">
        <w:rPr>
          <w:rFonts w:asciiTheme="minorHAnsi" w:hAnsiTheme="minorHAnsi" w:cstheme="minorHAnsi"/>
          <w:sz w:val="24"/>
          <w:szCs w:val="24"/>
        </w:rPr>
        <w:t>,</w:t>
      </w:r>
      <w:r w:rsidR="00727CF1" w:rsidRPr="00781608">
        <w:rPr>
          <w:rFonts w:asciiTheme="minorHAnsi" w:hAnsiTheme="minorHAnsi" w:cstheme="minorHAnsi"/>
          <w:sz w:val="24"/>
          <w:szCs w:val="24"/>
        </w:rPr>
        <w:t>850 no. of agriculture metered connections during FY 2018-19 to FY 2020-21. In actual, UGVCL has released around 52,000 no. of agriculture metered connections during FY 2018-19 to FY 2020-21 which is main reason for increase in sales along with contribution from other parameters.</w:t>
      </w:r>
    </w:p>
    <w:p w14:paraId="51C7F3C9" w14:textId="77777777" w:rsidR="00A56DF7" w:rsidRPr="00781608" w:rsidRDefault="00A56DF7" w:rsidP="00E85684">
      <w:pPr>
        <w:pStyle w:val="ydp360db5b4yiv6248630976msolistparagraph"/>
        <w:numPr>
          <w:ilvl w:val="0"/>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t xml:space="preserve">As regards sales to agricultural category, UGVCL should </w:t>
      </w:r>
    </w:p>
    <w:p w14:paraId="7EE0342B" w14:textId="77777777" w:rsidR="00A56DF7" w:rsidRPr="00781608" w:rsidRDefault="00A56DF7" w:rsidP="00E85684">
      <w:pPr>
        <w:pStyle w:val="ydp360db5b4yiv6248630976msolistparagraph"/>
        <w:numPr>
          <w:ilvl w:val="1"/>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hAnsiTheme="minorHAnsi" w:cstheme="minorHAnsi"/>
          <w:sz w:val="24"/>
          <w:szCs w:val="24"/>
        </w:rPr>
        <w:lastRenderedPageBreak/>
        <w:t xml:space="preserve">submit the break-up of revenue from sales to metered agricultural category and un-metered agricultural </w:t>
      </w:r>
      <w:proofErr w:type="gramStart"/>
      <w:r w:rsidRPr="00781608">
        <w:rPr>
          <w:rFonts w:asciiTheme="minorHAnsi" w:hAnsiTheme="minorHAnsi" w:cstheme="minorHAnsi"/>
          <w:sz w:val="24"/>
          <w:szCs w:val="24"/>
        </w:rPr>
        <w:t>category;</w:t>
      </w:r>
      <w:proofErr w:type="gramEnd"/>
    </w:p>
    <w:p w14:paraId="7A3E40C4" w14:textId="77777777" w:rsidR="00963E61" w:rsidRPr="00781608" w:rsidRDefault="00A471EB" w:rsidP="00E85684">
      <w:pPr>
        <w:pStyle w:val="ydp360db5b4yiv6248630976msolistparagraph"/>
        <w:spacing w:beforeAutospacing="0" w:after="200" w:afterAutospacing="0" w:line="276" w:lineRule="auto"/>
        <w:ind w:left="1440"/>
        <w:jc w:val="both"/>
        <w:rPr>
          <w:rFonts w:asciiTheme="minorHAnsi" w:hAnsiTheme="minorHAnsi" w:cstheme="minorHAnsi"/>
          <w:b/>
          <w:bCs/>
          <w:sz w:val="24"/>
          <w:szCs w:val="24"/>
        </w:rPr>
      </w:pPr>
      <w:r w:rsidRPr="00781608">
        <w:rPr>
          <w:rFonts w:asciiTheme="minorHAnsi" w:hAnsiTheme="minorHAnsi" w:cstheme="minorHAnsi"/>
          <w:b/>
          <w:bCs/>
          <w:sz w:val="24"/>
          <w:szCs w:val="24"/>
        </w:rPr>
        <w:t>Compliance:</w:t>
      </w:r>
    </w:p>
    <w:tbl>
      <w:tblPr>
        <w:tblW w:w="4230" w:type="dxa"/>
        <w:tblInd w:w="1548" w:type="dxa"/>
        <w:tblLook w:val="04A0" w:firstRow="1" w:lastRow="0" w:firstColumn="1" w:lastColumn="0" w:noHBand="0" w:noVBand="1"/>
      </w:tblPr>
      <w:tblGrid>
        <w:gridCol w:w="828"/>
        <w:gridCol w:w="1560"/>
        <w:gridCol w:w="1842"/>
      </w:tblGrid>
      <w:tr w:rsidR="00E50307" w:rsidRPr="00781608" w14:paraId="1BF2E8B8" w14:textId="77777777" w:rsidTr="00CB7B4F">
        <w:trPr>
          <w:trHeight w:val="300"/>
        </w:trPr>
        <w:tc>
          <w:tcPr>
            <w:tcW w:w="828" w:type="dxa"/>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noWrap/>
            <w:vAlign w:val="center"/>
            <w:hideMark/>
          </w:tcPr>
          <w:p w14:paraId="414795D1" w14:textId="77777777" w:rsidR="00E50307" w:rsidRPr="00781608" w:rsidRDefault="00E50307" w:rsidP="00D44FC3">
            <w:pPr>
              <w:jc w:val="cente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b/>
                <w:bCs/>
                <w:color w:val="000000"/>
                <w:lang w:val="en-US" w:eastAsia="en-US" w:bidi="gu-IN"/>
              </w:rPr>
              <w:t>Sr No</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noWrap/>
            <w:vAlign w:val="center"/>
            <w:hideMark/>
          </w:tcPr>
          <w:p w14:paraId="724B3B14" w14:textId="77777777" w:rsidR="00E50307" w:rsidRPr="00781608" w:rsidRDefault="00E50307" w:rsidP="00D44FC3">
            <w:pPr>
              <w:jc w:val="cente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b/>
                <w:bCs/>
                <w:color w:val="000000"/>
                <w:lang w:val="en-US" w:eastAsia="en-US" w:bidi="gu-IN"/>
              </w:rPr>
              <w:t>Category</w:t>
            </w:r>
          </w:p>
        </w:tc>
        <w:tc>
          <w:tcPr>
            <w:tcW w:w="1842"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4B266B65" w14:textId="451DADCF" w:rsidR="00E50307" w:rsidRPr="00781608" w:rsidRDefault="00E50307" w:rsidP="00D44FC3">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b/>
                <w:bCs/>
                <w:color w:val="000000"/>
                <w:lang w:val="en-US" w:eastAsia="en-US" w:bidi="gu-IN"/>
              </w:rPr>
              <w:t>Revenue in Cr</w:t>
            </w:r>
            <w:r w:rsidR="00CB7B4F" w:rsidRPr="00781608">
              <w:rPr>
                <w:rFonts w:asciiTheme="minorHAnsi" w:eastAsia="Times New Roman" w:hAnsiTheme="minorHAnsi" w:cstheme="minorHAnsi"/>
                <w:b/>
                <w:bCs/>
                <w:color w:val="000000"/>
                <w:lang w:val="en-US" w:eastAsia="en-US" w:bidi="gu-IN"/>
              </w:rPr>
              <w:t>ore</w:t>
            </w:r>
          </w:p>
        </w:tc>
      </w:tr>
      <w:tr w:rsidR="00E50307" w:rsidRPr="00781608" w14:paraId="2B8151AD" w14:textId="77777777" w:rsidTr="00CB7B4F">
        <w:trPr>
          <w:trHeight w:val="300"/>
        </w:trPr>
        <w:tc>
          <w:tcPr>
            <w:tcW w:w="828" w:type="dxa"/>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50D6AB51" w14:textId="77777777" w:rsidR="00E50307" w:rsidRPr="00781608" w:rsidRDefault="00E50307" w:rsidP="00D44FC3">
            <w:pPr>
              <w:rPr>
                <w:rFonts w:asciiTheme="minorHAnsi" w:eastAsia="Times New Roman" w:hAnsiTheme="minorHAnsi" w:cstheme="minorHAnsi"/>
                <w:b/>
                <w:bCs/>
                <w:color w:val="000000"/>
                <w:lang w:val="en-US" w:eastAsia="en-US" w:bidi="gu-IN"/>
              </w:rPr>
            </w:pPr>
          </w:p>
        </w:tc>
        <w:tc>
          <w:tcPr>
            <w:tcW w:w="1560" w:type="dxa"/>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56771F69" w14:textId="77777777" w:rsidR="00E50307" w:rsidRPr="00781608" w:rsidRDefault="00E50307" w:rsidP="00D44FC3">
            <w:pPr>
              <w:rPr>
                <w:rFonts w:asciiTheme="minorHAnsi" w:eastAsia="Times New Roman" w:hAnsiTheme="minorHAnsi" w:cstheme="minorHAnsi"/>
                <w:b/>
                <w:bCs/>
                <w:color w:val="000000"/>
                <w:lang w:val="en-US" w:eastAsia="en-US" w:bidi="gu-IN"/>
              </w:rPr>
            </w:pPr>
          </w:p>
        </w:tc>
        <w:tc>
          <w:tcPr>
            <w:tcW w:w="1842" w:type="dxa"/>
            <w:tcBorders>
              <w:top w:val="nil"/>
              <w:left w:val="nil"/>
              <w:bottom w:val="single" w:sz="4" w:space="0" w:color="auto"/>
              <w:right w:val="single" w:sz="4" w:space="0" w:color="auto"/>
            </w:tcBorders>
            <w:shd w:val="clear" w:color="auto" w:fill="DEEAF6" w:themeFill="accent5" w:themeFillTint="33"/>
            <w:noWrap/>
            <w:vAlign w:val="bottom"/>
            <w:hideMark/>
          </w:tcPr>
          <w:p w14:paraId="32FCE8F2" w14:textId="77777777" w:rsidR="00E50307" w:rsidRPr="00781608" w:rsidRDefault="00E50307" w:rsidP="00D44FC3">
            <w:pPr>
              <w:jc w:val="cente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b/>
                <w:bCs/>
                <w:color w:val="000000"/>
                <w:lang w:val="en-US" w:eastAsia="en-US" w:bidi="gu-IN"/>
              </w:rPr>
              <w:t>2020-21</w:t>
            </w:r>
          </w:p>
        </w:tc>
      </w:tr>
      <w:tr w:rsidR="00E50307" w:rsidRPr="00781608" w14:paraId="7527915F" w14:textId="77777777" w:rsidTr="00CB7B4F">
        <w:trPr>
          <w:trHeight w:val="300"/>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1B271172" w14:textId="77777777" w:rsidR="00E50307" w:rsidRPr="00781608" w:rsidRDefault="00E50307" w:rsidP="00D44FC3">
            <w:pPr>
              <w:jc w:val="cente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1</w:t>
            </w:r>
          </w:p>
        </w:tc>
        <w:tc>
          <w:tcPr>
            <w:tcW w:w="1560" w:type="dxa"/>
            <w:tcBorders>
              <w:top w:val="nil"/>
              <w:left w:val="nil"/>
              <w:bottom w:val="single" w:sz="4" w:space="0" w:color="auto"/>
              <w:right w:val="single" w:sz="4" w:space="0" w:color="auto"/>
            </w:tcBorders>
            <w:shd w:val="clear" w:color="auto" w:fill="auto"/>
            <w:noWrap/>
            <w:vAlign w:val="bottom"/>
            <w:hideMark/>
          </w:tcPr>
          <w:p w14:paraId="44D513B6" w14:textId="77777777" w:rsidR="00E50307" w:rsidRPr="00781608" w:rsidRDefault="00E50307" w:rsidP="00D44FC3">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AG Metered</w:t>
            </w:r>
          </w:p>
        </w:tc>
        <w:tc>
          <w:tcPr>
            <w:tcW w:w="1842" w:type="dxa"/>
            <w:tcBorders>
              <w:top w:val="nil"/>
              <w:left w:val="nil"/>
              <w:bottom w:val="single" w:sz="4" w:space="0" w:color="auto"/>
              <w:right w:val="single" w:sz="4" w:space="0" w:color="auto"/>
            </w:tcBorders>
            <w:shd w:val="clear" w:color="auto" w:fill="auto"/>
            <w:noWrap/>
            <w:vAlign w:val="bottom"/>
            <w:hideMark/>
          </w:tcPr>
          <w:p w14:paraId="3D620A07" w14:textId="77777777" w:rsidR="00E50307" w:rsidRPr="00781608" w:rsidRDefault="00E50307" w:rsidP="00D44FC3">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1659.92</w:t>
            </w:r>
          </w:p>
        </w:tc>
      </w:tr>
      <w:tr w:rsidR="00E50307" w:rsidRPr="00781608" w14:paraId="12ABDCC5" w14:textId="77777777" w:rsidTr="00CB7B4F">
        <w:trPr>
          <w:trHeight w:val="300"/>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0A00D9C2" w14:textId="77777777" w:rsidR="00E50307" w:rsidRPr="00781608" w:rsidRDefault="00E50307" w:rsidP="00D44FC3">
            <w:pPr>
              <w:jc w:val="cente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2</w:t>
            </w:r>
          </w:p>
        </w:tc>
        <w:tc>
          <w:tcPr>
            <w:tcW w:w="1560" w:type="dxa"/>
            <w:tcBorders>
              <w:top w:val="nil"/>
              <w:left w:val="nil"/>
              <w:bottom w:val="single" w:sz="4" w:space="0" w:color="auto"/>
              <w:right w:val="single" w:sz="4" w:space="0" w:color="auto"/>
            </w:tcBorders>
            <w:shd w:val="clear" w:color="auto" w:fill="auto"/>
            <w:noWrap/>
            <w:vAlign w:val="bottom"/>
            <w:hideMark/>
          </w:tcPr>
          <w:p w14:paraId="5DAE9ED9" w14:textId="77777777" w:rsidR="00E50307" w:rsidRPr="00781608" w:rsidRDefault="00E50307" w:rsidP="00D44FC3">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AG Unmetered</w:t>
            </w:r>
          </w:p>
        </w:tc>
        <w:tc>
          <w:tcPr>
            <w:tcW w:w="1842" w:type="dxa"/>
            <w:tcBorders>
              <w:top w:val="nil"/>
              <w:left w:val="nil"/>
              <w:bottom w:val="single" w:sz="4" w:space="0" w:color="auto"/>
              <w:right w:val="single" w:sz="4" w:space="0" w:color="auto"/>
            </w:tcBorders>
            <w:shd w:val="clear" w:color="auto" w:fill="auto"/>
            <w:noWrap/>
            <w:vAlign w:val="bottom"/>
            <w:hideMark/>
          </w:tcPr>
          <w:p w14:paraId="0F10CD97" w14:textId="77777777" w:rsidR="00E50307" w:rsidRPr="00781608" w:rsidRDefault="00E50307" w:rsidP="00D44FC3">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1462.59</w:t>
            </w:r>
          </w:p>
        </w:tc>
      </w:tr>
      <w:tr w:rsidR="00E50307" w:rsidRPr="00781608" w14:paraId="20C17242" w14:textId="77777777" w:rsidTr="00CB7B4F">
        <w:trPr>
          <w:trHeight w:val="60"/>
        </w:trPr>
        <w:tc>
          <w:tcPr>
            <w:tcW w:w="23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64BB16" w14:textId="77777777" w:rsidR="00E50307" w:rsidRPr="00781608" w:rsidRDefault="00E50307" w:rsidP="00E50307">
            <w:pPr>
              <w:jc w:val="cente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Total</w:t>
            </w:r>
          </w:p>
        </w:tc>
        <w:tc>
          <w:tcPr>
            <w:tcW w:w="1842" w:type="dxa"/>
            <w:tcBorders>
              <w:top w:val="nil"/>
              <w:left w:val="nil"/>
              <w:bottom w:val="single" w:sz="4" w:space="0" w:color="auto"/>
              <w:right w:val="single" w:sz="4" w:space="0" w:color="auto"/>
            </w:tcBorders>
            <w:shd w:val="clear" w:color="auto" w:fill="auto"/>
            <w:noWrap/>
            <w:vAlign w:val="bottom"/>
            <w:hideMark/>
          </w:tcPr>
          <w:p w14:paraId="4C6A3008" w14:textId="77777777" w:rsidR="00E50307" w:rsidRPr="00781608" w:rsidRDefault="00E50307" w:rsidP="00D44FC3">
            <w:pPr>
              <w:jc w:val="right"/>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b/>
                <w:bCs/>
                <w:color w:val="000000"/>
                <w:lang w:val="en-US" w:eastAsia="en-US" w:bidi="gu-IN"/>
              </w:rPr>
              <w:t>3122.51</w:t>
            </w:r>
          </w:p>
        </w:tc>
      </w:tr>
    </w:tbl>
    <w:p w14:paraId="65D79925" w14:textId="77777777" w:rsidR="00A56DF7" w:rsidRPr="00781608" w:rsidRDefault="00A56DF7" w:rsidP="00E85684">
      <w:pPr>
        <w:pStyle w:val="ydp360db5b4yiv6248630976msolistparagraph"/>
        <w:numPr>
          <w:ilvl w:val="1"/>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hAnsiTheme="minorHAnsi" w:cstheme="minorHAnsi"/>
          <w:sz w:val="24"/>
          <w:szCs w:val="24"/>
        </w:rPr>
        <w:t xml:space="preserve">Explain the significant increase in revenue as compared to approved revenue, though the overall actual sales increased by only 391 MU over the approved </w:t>
      </w:r>
      <w:proofErr w:type="gramStart"/>
      <w:r w:rsidRPr="00781608">
        <w:rPr>
          <w:rFonts w:asciiTheme="minorHAnsi" w:hAnsiTheme="minorHAnsi" w:cstheme="minorHAnsi"/>
          <w:sz w:val="24"/>
          <w:szCs w:val="24"/>
        </w:rPr>
        <w:t>sales;</w:t>
      </w:r>
      <w:proofErr w:type="gramEnd"/>
      <w:r w:rsidRPr="00781608">
        <w:rPr>
          <w:rFonts w:asciiTheme="minorHAnsi" w:hAnsiTheme="minorHAnsi" w:cstheme="minorHAnsi"/>
          <w:sz w:val="24"/>
          <w:szCs w:val="24"/>
        </w:rPr>
        <w:t xml:space="preserve"> </w:t>
      </w:r>
    </w:p>
    <w:p w14:paraId="1B1B06F2" w14:textId="77777777" w:rsidR="000E44E4" w:rsidRPr="00781608" w:rsidRDefault="00836677" w:rsidP="00E85684">
      <w:pPr>
        <w:pStyle w:val="ydp360db5b4yiv6248630976msolistparagraph"/>
        <w:spacing w:beforeAutospacing="0" w:after="200" w:afterAutospacing="0" w:line="276" w:lineRule="auto"/>
        <w:ind w:left="1440"/>
        <w:jc w:val="both"/>
        <w:rPr>
          <w:rFonts w:asciiTheme="minorHAnsi" w:hAnsiTheme="minorHAnsi" w:cstheme="minorHAnsi"/>
          <w:b/>
          <w:bCs/>
          <w:sz w:val="24"/>
          <w:szCs w:val="24"/>
        </w:rPr>
      </w:pPr>
      <w:r w:rsidRPr="00781608">
        <w:rPr>
          <w:rFonts w:asciiTheme="minorHAnsi" w:hAnsiTheme="minorHAnsi" w:cstheme="minorHAnsi"/>
          <w:b/>
          <w:bCs/>
          <w:sz w:val="24"/>
          <w:szCs w:val="24"/>
        </w:rPr>
        <w:t>Compliance</w:t>
      </w:r>
      <w:r w:rsidR="000E44E4" w:rsidRPr="00781608">
        <w:rPr>
          <w:rFonts w:asciiTheme="minorHAnsi" w:hAnsiTheme="minorHAnsi" w:cstheme="minorHAnsi"/>
          <w:b/>
          <w:bCs/>
          <w:sz w:val="24"/>
          <w:szCs w:val="24"/>
        </w:rPr>
        <w:t xml:space="preserve">: </w:t>
      </w:r>
      <w:r w:rsidR="000E44E4" w:rsidRPr="00781608">
        <w:rPr>
          <w:rFonts w:asciiTheme="minorHAnsi" w:hAnsiTheme="minorHAnsi" w:cstheme="minorHAnsi"/>
          <w:sz w:val="24"/>
          <w:szCs w:val="24"/>
        </w:rPr>
        <w:t>It is submitted that the Hon’ble Commission has approved Revenue of Rs. 2,712 Crore (Rs. 1,183 Crore tariff + Rs. 1,529 Crore FPPPA @ Rs. 1.59/kWh) as against that actual revenue is Rs. 3,123 Crore which is increase of Rs. 411 Crore. Two main contributors for increase in tariff is increase in sale by 391 MU and increase in FPPPA charges (Rs. 1.86 / kWh for FY 2020-21)</w:t>
      </w:r>
    </w:p>
    <w:p w14:paraId="76E637F8" w14:textId="77777777" w:rsidR="00A56DF7" w:rsidRPr="00781608" w:rsidRDefault="00A471EB" w:rsidP="00E85684">
      <w:pPr>
        <w:pStyle w:val="ydp360db5b4yiv6248630976msolistparagraph"/>
        <w:numPr>
          <w:ilvl w:val="1"/>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hAnsiTheme="minorHAnsi" w:cstheme="minorHAnsi"/>
          <w:sz w:val="24"/>
          <w:szCs w:val="24"/>
        </w:rPr>
        <w:t>Provide</w:t>
      </w:r>
      <w:r w:rsidR="00A56DF7" w:rsidRPr="00781608">
        <w:rPr>
          <w:rFonts w:asciiTheme="minorHAnsi" w:hAnsiTheme="minorHAnsi" w:cstheme="minorHAnsi"/>
          <w:sz w:val="24"/>
          <w:szCs w:val="24"/>
        </w:rPr>
        <w:t xml:space="preserve"> details of actual vs. projected hours of supply to metered agricultural connections and unmetered agricultural connections.</w:t>
      </w:r>
    </w:p>
    <w:p w14:paraId="78FE1EED" w14:textId="77CE879B" w:rsidR="00A4383A" w:rsidRPr="00781608" w:rsidRDefault="00A4383A" w:rsidP="00A4383A">
      <w:pPr>
        <w:pStyle w:val="ydp360db5b4yiv6248630976msolistparagraph"/>
        <w:spacing w:beforeAutospacing="0" w:after="200" w:afterAutospacing="0" w:line="276" w:lineRule="auto"/>
        <w:ind w:left="1440"/>
        <w:jc w:val="both"/>
        <w:rPr>
          <w:rFonts w:asciiTheme="minorHAnsi" w:hAnsiTheme="minorHAnsi" w:cstheme="minorHAnsi"/>
          <w:sz w:val="24"/>
          <w:szCs w:val="24"/>
        </w:rPr>
      </w:pPr>
      <w:r w:rsidRPr="00781608">
        <w:rPr>
          <w:rFonts w:asciiTheme="minorHAnsi" w:hAnsiTheme="minorHAnsi" w:cstheme="minorHAnsi"/>
          <w:b/>
          <w:bCs/>
          <w:sz w:val="24"/>
          <w:szCs w:val="24"/>
        </w:rPr>
        <w:t xml:space="preserve">Compliance: </w:t>
      </w:r>
      <w:r w:rsidRPr="00781608">
        <w:rPr>
          <w:rFonts w:asciiTheme="minorHAnsi" w:hAnsiTheme="minorHAnsi" w:cstheme="minorHAnsi"/>
          <w:sz w:val="24"/>
          <w:szCs w:val="24"/>
        </w:rPr>
        <w:t>Projected hours of supply to metered &amp; Un metered agriculture connections were 8 hours. However, Actual Average AG power supply had been given to ag consumer is 08:07:44 h</w:t>
      </w:r>
      <w:r w:rsidR="00885374">
        <w:rPr>
          <w:rFonts w:asciiTheme="minorHAnsi" w:hAnsiTheme="minorHAnsi" w:cstheme="minorHAnsi"/>
          <w:sz w:val="24"/>
          <w:szCs w:val="24"/>
        </w:rPr>
        <w:t>ours</w:t>
      </w:r>
      <w:r w:rsidRPr="00781608">
        <w:rPr>
          <w:rFonts w:asciiTheme="minorHAnsi" w:hAnsiTheme="minorHAnsi" w:cstheme="minorHAnsi"/>
          <w:sz w:val="24"/>
          <w:szCs w:val="24"/>
        </w:rPr>
        <w:t xml:space="preserve"> for year 2020-21 in this 10 hours AG power supply had been given to All AG consumer from dated 07.08.20 to 27.08.20.</w:t>
      </w:r>
    </w:p>
    <w:p w14:paraId="47F5516C" w14:textId="77777777" w:rsidR="00A56DF7" w:rsidRPr="00781608" w:rsidRDefault="00A56DF7" w:rsidP="00E85684">
      <w:pPr>
        <w:pStyle w:val="ydp360db5b4yiv6248630976msolistparagraph"/>
        <w:numPr>
          <w:ilvl w:val="0"/>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t>UGVCL should submit the comparison of actual Average Billing Rate (ABR) vis-à-vis the approved ABR for each category and explain the difference in ABR for each category.</w:t>
      </w:r>
    </w:p>
    <w:p w14:paraId="294188A8" w14:textId="77777777" w:rsidR="001526F4" w:rsidRPr="00781608" w:rsidRDefault="00836677" w:rsidP="00E85684">
      <w:pPr>
        <w:pStyle w:val="ydp360db5b4yiv6248630976msolistparagraph"/>
        <w:spacing w:beforeAutospacing="0" w:after="200" w:afterAutospacing="0" w:line="276" w:lineRule="auto"/>
        <w:ind w:left="720"/>
        <w:jc w:val="both"/>
        <w:rPr>
          <w:rFonts w:asciiTheme="minorHAnsi" w:eastAsia="Times New Roman" w:hAnsiTheme="minorHAnsi" w:cstheme="minorHAnsi"/>
          <w:sz w:val="24"/>
          <w:szCs w:val="24"/>
        </w:rPr>
      </w:pPr>
      <w:r w:rsidRPr="00781608">
        <w:rPr>
          <w:rFonts w:asciiTheme="minorHAnsi" w:eastAsia="Times New Roman" w:hAnsiTheme="minorHAnsi" w:cstheme="minorHAnsi"/>
          <w:b/>
          <w:bCs/>
          <w:sz w:val="24"/>
          <w:szCs w:val="24"/>
        </w:rPr>
        <w:t>Compliance</w:t>
      </w:r>
      <w:r w:rsidR="00DF19CF" w:rsidRPr="00781608">
        <w:rPr>
          <w:rFonts w:asciiTheme="minorHAnsi" w:eastAsia="Times New Roman" w:hAnsiTheme="minorHAnsi" w:cstheme="minorHAnsi"/>
          <w:b/>
          <w:bCs/>
          <w:sz w:val="24"/>
          <w:szCs w:val="24"/>
        </w:rPr>
        <w:t xml:space="preserve">: </w:t>
      </w:r>
      <w:r w:rsidR="00DF19CF" w:rsidRPr="00781608">
        <w:rPr>
          <w:rFonts w:asciiTheme="minorHAnsi" w:eastAsia="Times New Roman" w:hAnsiTheme="minorHAnsi" w:cstheme="minorHAnsi"/>
          <w:sz w:val="24"/>
          <w:szCs w:val="24"/>
        </w:rPr>
        <w:t>Comparison of actual ABR vis-à-vis approved ABR is as under:</w:t>
      </w:r>
    </w:p>
    <w:tbl>
      <w:tblPr>
        <w:tblW w:w="7081" w:type="dxa"/>
        <w:tblInd w:w="704" w:type="dxa"/>
        <w:tblLayout w:type="fixed"/>
        <w:tblLook w:val="04A0" w:firstRow="1" w:lastRow="0" w:firstColumn="1" w:lastColumn="0" w:noHBand="0" w:noVBand="1"/>
      </w:tblPr>
      <w:tblGrid>
        <w:gridCol w:w="960"/>
        <w:gridCol w:w="2100"/>
        <w:gridCol w:w="1366"/>
        <w:gridCol w:w="1379"/>
        <w:gridCol w:w="1276"/>
      </w:tblGrid>
      <w:tr w:rsidR="003C247B" w:rsidRPr="00781608" w14:paraId="1B202669" w14:textId="77777777" w:rsidTr="008F4D65">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DDEBF7"/>
            <w:noWrap/>
            <w:hideMark/>
          </w:tcPr>
          <w:p w14:paraId="52246880" w14:textId="77777777" w:rsidR="005F7D50" w:rsidRPr="00781608" w:rsidRDefault="005F7D50" w:rsidP="00E85684">
            <w:pPr>
              <w:spacing w:line="276" w:lineRule="auto"/>
              <w:jc w:val="center"/>
              <w:rPr>
                <w:rFonts w:asciiTheme="minorHAnsi" w:eastAsia="Times New Roman" w:hAnsiTheme="minorHAnsi" w:cstheme="minorHAnsi"/>
                <w:b/>
                <w:bCs/>
              </w:rPr>
            </w:pPr>
            <w:r w:rsidRPr="00781608">
              <w:rPr>
                <w:rFonts w:asciiTheme="minorHAnsi" w:eastAsia="Times New Roman" w:hAnsiTheme="minorHAnsi" w:cstheme="minorHAnsi"/>
                <w:b/>
                <w:bCs/>
              </w:rPr>
              <w:t>Sr. No.</w:t>
            </w:r>
          </w:p>
        </w:tc>
        <w:tc>
          <w:tcPr>
            <w:tcW w:w="2100" w:type="dxa"/>
            <w:tcBorders>
              <w:top w:val="single" w:sz="4" w:space="0" w:color="auto"/>
              <w:left w:val="nil"/>
              <w:bottom w:val="single" w:sz="4" w:space="0" w:color="auto"/>
              <w:right w:val="single" w:sz="4" w:space="0" w:color="auto"/>
            </w:tcBorders>
            <w:shd w:val="clear" w:color="000000" w:fill="DDEBF7"/>
            <w:noWrap/>
            <w:hideMark/>
          </w:tcPr>
          <w:p w14:paraId="59C9DDAD" w14:textId="77777777" w:rsidR="005F7D50" w:rsidRPr="00781608" w:rsidRDefault="005F7D50" w:rsidP="00E85684">
            <w:pPr>
              <w:spacing w:line="276" w:lineRule="auto"/>
              <w:jc w:val="center"/>
              <w:rPr>
                <w:rFonts w:asciiTheme="minorHAnsi" w:eastAsia="Times New Roman" w:hAnsiTheme="minorHAnsi" w:cstheme="minorHAnsi"/>
                <w:b/>
                <w:bCs/>
              </w:rPr>
            </w:pPr>
            <w:r w:rsidRPr="00781608">
              <w:rPr>
                <w:rFonts w:asciiTheme="minorHAnsi" w:eastAsia="Times New Roman" w:hAnsiTheme="minorHAnsi" w:cstheme="minorHAnsi"/>
                <w:b/>
                <w:bCs/>
              </w:rPr>
              <w:t>Particular</w:t>
            </w:r>
          </w:p>
        </w:tc>
        <w:tc>
          <w:tcPr>
            <w:tcW w:w="1366" w:type="dxa"/>
            <w:tcBorders>
              <w:top w:val="single" w:sz="4" w:space="0" w:color="auto"/>
              <w:left w:val="nil"/>
              <w:bottom w:val="single" w:sz="4" w:space="0" w:color="auto"/>
              <w:right w:val="single" w:sz="4" w:space="0" w:color="auto"/>
            </w:tcBorders>
            <w:shd w:val="clear" w:color="000000" w:fill="DDEBF7"/>
            <w:hideMark/>
          </w:tcPr>
          <w:p w14:paraId="304A1442" w14:textId="77777777" w:rsidR="005F7D50" w:rsidRPr="00781608" w:rsidRDefault="005F7D50" w:rsidP="00E85684">
            <w:pPr>
              <w:spacing w:line="276" w:lineRule="auto"/>
              <w:jc w:val="center"/>
              <w:rPr>
                <w:rFonts w:asciiTheme="minorHAnsi" w:eastAsia="Times New Roman" w:hAnsiTheme="minorHAnsi" w:cstheme="minorHAnsi"/>
                <w:b/>
                <w:bCs/>
              </w:rPr>
            </w:pPr>
            <w:r w:rsidRPr="00781608">
              <w:rPr>
                <w:rFonts w:asciiTheme="minorHAnsi" w:eastAsia="Times New Roman" w:hAnsiTheme="minorHAnsi" w:cstheme="minorHAnsi"/>
                <w:b/>
                <w:bCs/>
              </w:rPr>
              <w:t>FY 2020-21</w:t>
            </w:r>
            <w:r w:rsidRPr="00781608">
              <w:rPr>
                <w:rFonts w:asciiTheme="minorHAnsi" w:eastAsia="Times New Roman" w:hAnsiTheme="minorHAnsi" w:cstheme="minorHAnsi"/>
                <w:b/>
                <w:bCs/>
              </w:rPr>
              <w:br/>
              <w:t>(Approved)</w:t>
            </w:r>
          </w:p>
        </w:tc>
        <w:tc>
          <w:tcPr>
            <w:tcW w:w="1379" w:type="dxa"/>
            <w:tcBorders>
              <w:top w:val="single" w:sz="4" w:space="0" w:color="auto"/>
              <w:left w:val="nil"/>
              <w:bottom w:val="single" w:sz="4" w:space="0" w:color="auto"/>
              <w:right w:val="single" w:sz="4" w:space="0" w:color="auto"/>
            </w:tcBorders>
            <w:shd w:val="clear" w:color="000000" w:fill="DDEBF7"/>
            <w:hideMark/>
          </w:tcPr>
          <w:p w14:paraId="24F7FCB9" w14:textId="77777777" w:rsidR="005F7D50" w:rsidRPr="00781608" w:rsidRDefault="005F7D50" w:rsidP="00E85684">
            <w:pPr>
              <w:spacing w:line="276" w:lineRule="auto"/>
              <w:jc w:val="center"/>
              <w:rPr>
                <w:rFonts w:asciiTheme="minorHAnsi" w:eastAsia="Times New Roman" w:hAnsiTheme="minorHAnsi" w:cstheme="minorHAnsi"/>
                <w:b/>
                <w:bCs/>
              </w:rPr>
            </w:pPr>
            <w:r w:rsidRPr="00781608">
              <w:rPr>
                <w:rFonts w:asciiTheme="minorHAnsi" w:eastAsia="Times New Roman" w:hAnsiTheme="minorHAnsi" w:cstheme="minorHAnsi"/>
                <w:b/>
                <w:bCs/>
              </w:rPr>
              <w:t>FY 2020-21</w:t>
            </w:r>
            <w:r w:rsidRPr="00781608">
              <w:rPr>
                <w:rFonts w:asciiTheme="minorHAnsi" w:eastAsia="Times New Roman" w:hAnsiTheme="minorHAnsi" w:cstheme="minorHAnsi"/>
                <w:b/>
                <w:bCs/>
              </w:rPr>
              <w:br/>
              <w:t>(Actual)</w:t>
            </w:r>
          </w:p>
        </w:tc>
        <w:tc>
          <w:tcPr>
            <w:tcW w:w="1276" w:type="dxa"/>
            <w:tcBorders>
              <w:top w:val="single" w:sz="4" w:space="0" w:color="auto"/>
              <w:left w:val="nil"/>
              <w:bottom w:val="single" w:sz="4" w:space="0" w:color="auto"/>
              <w:right w:val="single" w:sz="4" w:space="0" w:color="auto"/>
            </w:tcBorders>
            <w:shd w:val="clear" w:color="000000" w:fill="DDEBF7"/>
            <w:hideMark/>
          </w:tcPr>
          <w:p w14:paraId="58A70964" w14:textId="77777777" w:rsidR="005F7D50" w:rsidRPr="00781608" w:rsidRDefault="005F7D50" w:rsidP="00E85684">
            <w:pPr>
              <w:spacing w:line="276" w:lineRule="auto"/>
              <w:jc w:val="center"/>
              <w:rPr>
                <w:rFonts w:asciiTheme="minorHAnsi" w:eastAsia="Times New Roman" w:hAnsiTheme="minorHAnsi" w:cstheme="minorHAnsi"/>
                <w:b/>
                <w:bCs/>
              </w:rPr>
            </w:pPr>
            <w:r w:rsidRPr="00781608">
              <w:rPr>
                <w:rFonts w:asciiTheme="minorHAnsi" w:eastAsia="Times New Roman" w:hAnsiTheme="minorHAnsi" w:cstheme="minorHAnsi"/>
                <w:b/>
                <w:bCs/>
              </w:rPr>
              <w:t>Difference</w:t>
            </w:r>
          </w:p>
        </w:tc>
      </w:tr>
      <w:tr w:rsidR="003C247B" w:rsidRPr="00781608" w14:paraId="6788369C" w14:textId="77777777" w:rsidTr="008F4D65">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3B6E3EE5" w14:textId="77777777" w:rsidR="005F7D50" w:rsidRPr="00781608" w:rsidRDefault="005F7D50" w:rsidP="00E85684">
            <w:pPr>
              <w:spacing w:line="276" w:lineRule="auto"/>
              <w:jc w:val="center"/>
              <w:rPr>
                <w:rFonts w:asciiTheme="minorHAnsi" w:eastAsia="Times New Roman" w:hAnsiTheme="minorHAnsi" w:cstheme="minorHAnsi"/>
              </w:rPr>
            </w:pPr>
            <w:r w:rsidRPr="00781608">
              <w:rPr>
                <w:rFonts w:asciiTheme="minorHAnsi" w:eastAsia="Times New Roman" w:hAnsiTheme="minorHAnsi" w:cstheme="minorHAnsi"/>
              </w:rPr>
              <w:t>1</w:t>
            </w:r>
          </w:p>
        </w:tc>
        <w:tc>
          <w:tcPr>
            <w:tcW w:w="2100" w:type="dxa"/>
            <w:tcBorders>
              <w:top w:val="nil"/>
              <w:left w:val="nil"/>
              <w:bottom w:val="single" w:sz="4" w:space="0" w:color="auto"/>
              <w:right w:val="single" w:sz="4" w:space="0" w:color="auto"/>
            </w:tcBorders>
            <w:shd w:val="clear" w:color="auto" w:fill="auto"/>
            <w:hideMark/>
          </w:tcPr>
          <w:p w14:paraId="0F6FAC3D" w14:textId="77777777" w:rsidR="005F7D50" w:rsidRPr="00781608" w:rsidRDefault="005F7D50"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RGP</w:t>
            </w:r>
          </w:p>
        </w:tc>
        <w:tc>
          <w:tcPr>
            <w:tcW w:w="1366" w:type="dxa"/>
            <w:tcBorders>
              <w:top w:val="nil"/>
              <w:left w:val="nil"/>
              <w:bottom w:val="single" w:sz="4" w:space="0" w:color="auto"/>
              <w:right w:val="single" w:sz="4" w:space="0" w:color="auto"/>
            </w:tcBorders>
            <w:shd w:val="clear" w:color="auto" w:fill="auto"/>
            <w:noWrap/>
            <w:hideMark/>
          </w:tcPr>
          <w:p w14:paraId="4A2F59DB" w14:textId="77777777" w:rsidR="005F7D50" w:rsidRPr="00781608" w:rsidRDefault="005F7D50"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3.55</w:t>
            </w:r>
          </w:p>
        </w:tc>
        <w:tc>
          <w:tcPr>
            <w:tcW w:w="1379" w:type="dxa"/>
            <w:tcBorders>
              <w:top w:val="nil"/>
              <w:left w:val="nil"/>
              <w:bottom w:val="single" w:sz="4" w:space="0" w:color="auto"/>
              <w:right w:val="single" w:sz="4" w:space="0" w:color="auto"/>
            </w:tcBorders>
            <w:shd w:val="clear" w:color="auto" w:fill="auto"/>
            <w:noWrap/>
            <w:hideMark/>
          </w:tcPr>
          <w:p w14:paraId="1596FB28" w14:textId="77777777" w:rsidR="005F7D50" w:rsidRPr="00781608" w:rsidRDefault="005F7D50"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5.43</w:t>
            </w:r>
          </w:p>
        </w:tc>
        <w:tc>
          <w:tcPr>
            <w:tcW w:w="1276" w:type="dxa"/>
            <w:tcBorders>
              <w:top w:val="nil"/>
              <w:left w:val="nil"/>
              <w:bottom w:val="single" w:sz="4" w:space="0" w:color="auto"/>
              <w:right w:val="single" w:sz="4" w:space="0" w:color="auto"/>
            </w:tcBorders>
            <w:shd w:val="clear" w:color="auto" w:fill="auto"/>
            <w:noWrap/>
            <w:hideMark/>
          </w:tcPr>
          <w:p w14:paraId="5C2DE3C7" w14:textId="77777777" w:rsidR="005F7D50" w:rsidRPr="00781608" w:rsidRDefault="005F7D50"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1.87</w:t>
            </w:r>
          </w:p>
        </w:tc>
      </w:tr>
      <w:tr w:rsidR="003C247B" w:rsidRPr="00781608" w14:paraId="436CCB1D" w14:textId="77777777" w:rsidTr="008F4D65">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6FA3FF65" w14:textId="77777777" w:rsidR="005F7D50" w:rsidRPr="00781608" w:rsidRDefault="005F7D50" w:rsidP="00E85684">
            <w:pPr>
              <w:spacing w:line="276" w:lineRule="auto"/>
              <w:jc w:val="center"/>
              <w:rPr>
                <w:rFonts w:asciiTheme="minorHAnsi" w:eastAsia="Times New Roman" w:hAnsiTheme="minorHAnsi" w:cstheme="minorHAnsi"/>
              </w:rPr>
            </w:pPr>
            <w:r w:rsidRPr="00781608">
              <w:rPr>
                <w:rFonts w:asciiTheme="minorHAnsi" w:eastAsia="Times New Roman" w:hAnsiTheme="minorHAnsi" w:cstheme="minorHAnsi"/>
              </w:rPr>
              <w:t>2</w:t>
            </w:r>
          </w:p>
        </w:tc>
        <w:tc>
          <w:tcPr>
            <w:tcW w:w="2100" w:type="dxa"/>
            <w:tcBorders>
              <w:top w:val="nil"/>
              <w:left w:val="nil"/>
              <w:bottom w:val="single" w:sz="4" w:space="0" w:color="auto"/>
              <w:right w:val="single" w:sz="4" w:space="0" w:color="auto"/>
            </w:tcBorders>
            <w:shd w:val="clear" w:color="auto" w:fill="auto"/>
            <w:hideMark/>
          </w:tcPr>
          <w:p w14:paraId="0189C825" w14:textId="77777777" w:rsidR="005F7D50" w:rsidRPr="00781608" w:rsidRDefault="005F7D50"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GLP</w:t>
            </w:r>
          </w:p>
        </w:tc>
        <w:tc>
          <w:tcPr>
            <w:tcW w:w="1366" w:type="dxa"/>
            <w:tcBorders>
              <w:top w:val="nil"/>
              <w:left w:val="nil"/>
              <w:bottom w:val="single" w:sz="4" w:space="0" w:color="auto"/>
              <w:right w:val="single" w:sz="4" w:space="0" w:color="auto"/>
            </w:tcBorders>
            <w:shd w:val="clear" w:color="auto" w:fill="auto"/>
            <w:noWrap/>
            <w:hideMark/>
          </w:tcPr>
          <w:p w14:paraId="1DCFF010" w14:textId="77777777" w:rsidR="005F7D50" w:rsidRPr="00781608" w:rsidRDefault="005F7D50"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4.32</w:t>
            </w:r>
          </w:p>
        </w:tc>
        <w:tc>
          <w:tcPr>
            <w:tcW w:w="1379" w:type="dxa"/>
            <w:tcBorders>
              <w:top w:val="nil"/>
              <w:left w:val="nil"/>
              <w:bottom w:val="single" w:sz="4" w:space="0" w:color="auto"/>
              <w:right w:val="single" w:sz="4" w:space="0" w:color="auto"/>
            </w:tcBorders>
            <w:shd w:val="clear" w:color="auto" w:fill="auto"/>
            <w:noWrap/>
            <w:hideMark/>
          </w:tcPr>
          <w:p w14:paraId="4D394744" w14:textId="77777777" w:rsidR="005F7D50" w:rsidRPr="00781608" w:rsidRDefault="005F7D50"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6.14</w:t>
            </w:r>
          </w:p>
        </w:tc>
        <w:tc>
          <w:tcPr>
            <w:tcW w:w="1276" w:type="dxa"/>
            <w:tcBorders>
              <w:top w:val="nil"/>
              <w:left w:val="nil"/>
              <w:bottom w:val="single" w:sz="4" w:space="0" w:color="auto"/>
              <w:right w:val="single" w:sz="4" w:space="0" w:color="auto"/>
            </w:tcBorders>
            <w:shd w:val="clear" w:color="auto" w:fill="auto"/>
            <w:noWrap/>
            <w:hideMark/>
          </w:tcPr>
          <w:p w14:paraId="296FDC8D" w14:textId="77777777" w:rsidR="005F7D50" w:rsidRPr="00781608" w:rsidRDefault="005F7D50"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1.82</w:t>
            </w:r>
          </w:p>
        </w:tc>
      </w:tr>
      <w:tr w:rsidR="003C247B" w:rsidRPr="00781608" w14:paraId="33469F32" w14:textId="77777777" w:rsidTr="008F4D65">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3FB8F2B9" w14:textId="77777777" w:rsidR="005F7D50" w:rsidRPr="00781608" w:rsidRDefault="005F7D50" w:rsidP="00E85684">
            <w:pPr>
              <w:spacing w:line="276" w:lineRule="auto"/>
              <w:jc w:val="center"/>
              <w:rPr>
                <w:rFonts w:asciiTheme="minorHAnsi" w:eastAsia="Times New Roman" w:hAnsiTheme="minorHAnsi" w:cstheme="minorHAnsi"/>
              </w:rPr>
            </w:pPr>
            <w:r w:rsidRPr="00781608">
              <w:rPr>
                <w:rFonts w:asciiTheme="minorHAnsi" w:eastAsia="Times New Roman" w:hAnsiTheme="minorHAnsi" w:cstheme="minorHAnsi"/>
              </w:rPr>
              <w:t>3</w:t>
            </w:r>
          </w:p>
        </w:tc>
        <w:tc>
          <w:tcPr>
            <w:tcW w:w="2100" w:type="dxa"/>
            <w:tcBorders>
              <w:top w:val="nil"/>
              <w:left w:val="nil"/>
              <w:bottom w:val="single" w:sz="4" w:space="0" w:color="auto"/>
              <w:right w:val="single" w:sz="4" w:space="0" w:color="auto"/>
            </w:tcBorders>
            <w:shd w:val="clear" w:color="auto" w:fill="auto"/>
            <w:hideMark/>
          </w:tcPr>
          <w:p w14:paraId="35447F38" w14:textId="77777777" w:rsidR="005F7D50" w:rsidRPr="00781608" w:rsidRDefault="005F7D50"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Non-RGP &amp; LTMD</w:t>
            </w:r>
          </w:p>
        </w:tc>
        <w:tc>
          <w:tcPr>
            <w:tcW w:w="1366" w:type="dxa"/>
            <w:tcBorders>
              <w:top w:val="nil"/>
              <w:left w:val="nil"/>
              <w:bottom w:val="single" w:sz="4" w:space="0" w:color="auto"/>
              <w:right w:val="single" w:sz="4" w:space="0" w:color="auto"/>
            </w:tcBorders>
            <w:shd w:val="clear" w:color="auto" w:fill="auto"/>
            <w:noWrap/>
            <w:hideMark/>
          </w:tcPr>
          <w:p w14:paraId="1FD16348" w14:textId="77777777" w:rsidR="005F7D50" w:rsidRPr="00781608" w:rsidRDefault="005F7D50"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5.57</w:t>
            </w:r>
          </w:p>
        </w:tc>
        <w:tc>
          <w:tcPr>
            <w:tcW w:w="1379" w:type="dxa"/>
            <w:tcBorders>
              <w:top w:val="nil"/>
              <w:left w:val="nil"/>
              <w:bottom w:val="single" w:sz="4" w:space="0" w:color="auto"/>
              <w:right w:val="single" w:sz="4" w:space="0" w:color="auto"/>
            </w:tcBorders>
            <w:shd w:val="clear" w:color="auto" w:fill="auto"/>
            <w:noWrap/>
            <w:hideMark/>
          </w:tcPr>
          <w:p w14:paraId="3EDA9620" w14:textId="77777777" w:rsidR="005F7D50" w:rsidRPr="00781608" w:rsidRDefault="005F7D50"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7.44</w:t>
            </w:r>
          </w:p>
        </w:tc>
        <w:tc>
          <w:tcPr>
            <w:tcW w:w="1276" w:type="dxa"/>
            <w:tcBorders>
              <w:top w:val="nil"/>
              <w:left w:val="nil"/>
              <w:bottom w:val="single" w:sz="4" w:space="0" w:color="auto"/>
              <w:right w:val="single" w:sz="4" w:space="0" w:color="auto"/>
            </w:tcBorders>
            <w:shd w:val="clear" w:color="auto" w:fill="auto"/>
            <w:noWrap/>
            <w:hideMark/>
          </w:tcPr>
          <w:p w14:paraId="62BE22B7" w14:textId="77777777" w:rsidR="005F7D50" w:rsidRPr="00781608" w:rsidRDefault="005F7D50"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1.87</w:t>
            </w:r>
          </w:p>
        </w:tc>
      </w:tr>
      <w:tr w:rsidR="003C247B" w:rsidRPr="00781608" w14:paraId="6AA477D3" w14:textId="77777777" w:rsidTr="008F4D65">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37561D67" w14:textId="77777777" w:rsidR="005F7D50" w:rsidRPr="00781608" w:rsidRDefault="005F7D50" w:rsidP="00E85684">
            <w:pPr>
              <w:spacing w:line="276" w:lineRule="auto"/>
              <w:jc w:val="center"/>
              <w:rPr>
                <w:rFonts w:asciiTheme="minorHAnsi" w:eastAsia="Times New Roman" w:hAnsiTheme="minorHAnsi" w:cstheme="minorHAnsi"/>
              </w:rPr>
            </w:pPr>
            <w:r w:rsidRPr="00781608">
              <w:rPr>
                <w:rFonts w:asciiTheme="minorHAnsi" w:eastAsia="Times New Roman" w:hAnsiTheme="minorHAnsi" w:cstheme="minorHAnsi"/>
              </w:rPr>
              <w:t>4</w:t>
            </w:r>
          </w:p>
        </w:tc>
        <w:tc>
          <w:tcPr>
            <w:tcW w:w="2100" w:type="dxa"/>
            <w:tcBorders>
              <w:top w:val="nil"/>
              <w:left w:val="nil"/>
              <w:bottom w:val="single" w:sz="4" w:space="0" w:color="auto"/>
              <w:right w:val="single" w:sz="4" w:space="0" w:color="auto"/>
            </w:tcBorders>
            <w:shd w:val="clear" w:color="auto" w:fill="auto"/>
            <w:hideMark/>
          </w:tcPr>
          <w:p w14:paraId="7DB2C2E5" w14:textId="77777777" w:rsidR="005F7D50" w:rsidRPr="00781608" w:rsidRDefault="005F7D50"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Public Water Works</w:t>
            </w:r>
          </w:p>
        </w:tc>
        <w:tc>
          <w:tcPr>
            <w:tcW w:w="1366" w:type="dxa"/>
            <w:tcBorders>
              <w:top w:val="nil"/>
              <w:left w:val="nil"/>
              <w:bottom w:val="single" w:sz="4" w:space="0" w:color="auto"/>
              <w:right w:val="single" w:sz="4" w:space="0" w:color="auto"/>
            </w:tcBorders>
            <w:shd w:val="clear" w:color="auto" w:fill="auto"/>
            <w:noWrap/>
            <w:hideMark/>
          </w:tcPr>
          <w:p w14:paraId="4DEBBA29" w14:textId="77777777" w:rsidR="005F7D50" w:rsidRPr="00781608" w:rsidRDefault="005F7D50"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3.51</w:t>
            </w:r>
          </w:p>
        </w:tc>
        <w:tc>
          <w:tcPr>
            <w:tcW w:w="1379" w:type="dxa"/>
            <w:tcBorders>
              <w:top w:val="nil"/>
              <w:left w:val="nil"/>
              <w:bottom w:val="single" w:sz="4" w:space="0" w:color="auto"/>
              <w:right w:val="single" w:sz="4" w:space="0" w:color="auto"/>
            </w:tcBorders>
            <w:shd w:val="clear" w:color="auto" w:fill="auto"/>
            <w:noWrap/>
            <w:hideMark/>
          </w:tcPr>
          <w:p w14:paraId="6751912E" w14:textId="77777777" w:rsidR="005F7D50" w:rsidRPr="00781608" w:rsidRDefault="005F7D50"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5.94</w:t>
            </w:r>
          </w:p>
        </w:tc>
        <w:tc>
          <w:tcPr>
            <w:tcW w:w="1276" w:type="dxa"/>
            <w:tcBorders>
              <w:top w:val="nil"/>
              <w:left w:val="nil"/>
              <w:bottom w:val="single" w:sz="4" w:space="0" w:color="auto"/>
              <w:right w:val="single" w:sz="4" w:space="0" w:color="auto"/>
            </w:tcBorders>
            <w:shd w:val="clear" w:color="auto" w:fill="auto"/>
            <w:noWrap/>
            <w:hideMark/>
          </w:tcPr>
          <w:p w14:paraId="3F3B8D31" w14:textId="77777777" w:rsidR="005F7D50" w:rsidRPr="00781608" w:rsidRDefault="005F7D50"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2.43</w:t>
            </w:r>
          </w:p>
        </w:tc>
      </w:tr>
      <w:tr w:rsidR="003C247B" w:rsidRPr="00781608" w14:paraId="61FECD98" w14:textId="77777777" w:rsidTr="008F4D65">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4295D07D" w14:textId="77777777" w:rsidR="005F7D50" w:rsidRPr="00781608" w:rsidRDefault="005F7D50" w:rsidP="00E85684">
            <w:pPr>
              <w:spacing w:line="276" w:lineRule="auto"/>
              <w:jc w:val="center"/>
              <w:rPr>
                <w:rFonts w:asciiTheme="minorHAnsi" w:eastAsia="Times New Roman" w:hAnsiTheme="minorHAnsi" w:cstheme="minorHAnsi"/>
              </w:rPr>
            </w:pPr>
            <w:r w:rsidRPr="00781608">
              <w:rPr>
                <w:rFonts w:asciiTheme="minorHAnsi" w:eastAsia="Times New Roman" w:hAnsiTheme="minorHAnsi" w:cstheme="minorHAnsi"/>
              </w:rPr>
              <w:t>5</w:t>
            </w:r>
          </w:p>
        </w:tc>
        <w:tc>
          <w:tcPr>
            <w:tcW w:w="2100" w:type="dxa"/>
            <w:tcBorders>
              <w:top w:val="nil"/>
              <w:left w:val="nil"/>
              <w:bottom w:val="single" w:sz="4" w:space="0" w:color="auto"/>
              <w:right w:val="single" w:sz="4" w:space="0" w:color="auto"/>
            </w:tcBorders>
            <w:shd w:val="clear" w:color="auto" w:fill="auto"/>
            <w:noWrap/>
            <w:hideMark/>
          </w:tcPr>
          <w:p w14:paraId="086C2866" w14:textId="77777777" w:rsidR="005F7D50" w:rsidRPr="00781608" w:rsidRDefault="005F7D50"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Agriculture</w:t>
            </w:r>
          </w:p>
        </w:tc>
        <w:tc>
          <w:tcPr>
            <w:tcW w:w="1366" w:type="dxa"/>
            <w:tcBorders>
              <w:top w:val="nil"/>
              <w:left w:val="nil"/>
              <w:bottom w:val="single" w:sz="4" w:space="0" w:color="auto"/>
              <w:right w:val="single" w:sz="4" w:space="0" w:color="auto"/>
            </w:tcBorders>
            <w:shd w:val="clear" w:color="auto" w:fill="auto"/>
            <w:noWrap/>
            <w:hideMark/>
          </w:tcPr>
          <w:p w14:paraId="3856947E" w14:textId="77777777" w:rsidR="005F7D50" w:rsidRPr="00781608" w:rsidRDefault="005F7D50"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1.23</w:t>
            </w:r>
          </w:p>
        </w:tc>
        <w:tc>
          <w:tcPr>
            <w:tcW w:w="1379" w:type="dxa"/>
            <w:tcBorders>
              <w:top w:val="nil"/>
              <w:left w:val="nil"/>
              <w:bottom w:val="single" w:sz="4" w:space="0" w:color="auto"/>
              <w:right w:val="single" w:sz="4" w:space="0" w:color="auto"/>
            </w:tcBorders>
            <w:shd w:val="clear" w:color="auto" w:fill="auto"/>
            <w:noWrap/>
            <w:hideMark/>
          </w:tcPr>
          <w:p w14:paraId="6C8B6B87" w14:textId="77777777" w:rsidR="005F7D50" w:rsidRPr="00781608" w:rsidRDefault="005F7D50"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3.12</w:t>
            </w:r>
          </w:p>
        </w:tc>
        <w:tc>
          <w:tcPr>
            <w:tcW w:w="1276" w:type="dxa"/>
            <w:tcBorders>
              <w:top w:val="nil"/>
              <w:left w:val="nil"/>
              <w:bottom w:val="single" w:sz="4" w:space="0" w:color="auto"/>
              <w:right w:val="single" w:sz="4" w:space="0" w:color="auto"/>
            </w:tcBorders>
            <w:shd w:val="clear" w:color="auto" w:fill="auto"/>
            <w:noWrap/>
            <w:hideMark/>
          </w:tcPr>
          <w:p w14:paraId="3BA91E5E" w14:textId="77777777" w:rsidR="005F7D50" w:rsidRPr="00781608" w:rsidRDefault="005F7D50"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1.89</w:t>
            </w:r>
          </w:p>
        </w:tc>
      </w:tr>
      <w:tr w:rsidR="003C247B" w:rsidRPr="00781608" w14:paraId="3AF06CA7" w14:textId="77777777" w:rsidTr="008F4D65">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07222B12" w14:textId="77777777" w:rsidR="005F7D50" w:rsidRPr="00781608" w:rsidRDefault="005F7D50" w:rsidP="00E85684">
            <w:pPr>
              <w:spacing w:line="276" w:lineRule="auto"/>
              <w:jc w:val="center"/>
              <w:rPr>
                <w:rFonts w:asciiTheme="minorHAnsi" w:eastAsia="Times New Roman" w:hAnsiTheme="minorHAnsi" w:cstheme="minorHAnsi"/>
              </w:rPr>
            </w:pPr>
            <w:r w:rsidRPr="00781608">
              <w:rPr>
                <w:rFonts w:asciiTheme="minorHAnsi" w:eastAsia="Times New Roman" w:hAnsiTheme="minorHAnsi" w:cstheme="minorHAnsi"/>
              </w:rPr>
              <w:t>6</w:t>
            </w:r>
          </w:p>
        </w:tc>
        <w:tc>
          <w:tcPr>
            <w:tcW w:w="2100" w:type="dxa"/>
            <w:tcBorders>
              <w:top w:val="nil"/>
              <w:left w:val="nil"/>
              <w:bottom w:val="single" w:sz="4" w:space="0" w:color="auto"/>
              <w:right w:val="single" w:sz="4" w:space="0" w:color="auto"/>
            </w:tcBorders>
            <w:shd w:val="clear" w:color="auto" w:fill="auto"/>
            <w:noWrap/>
            <w:hideMark/>
          </w:tcPr>
          <w:p w14:paraId="44DB05C4" w14:textId="77777777" w:rsidR="005F7D50" w:rsidRPr="00781608" w:rsidRDefault="005F7D50"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Industrial HT</w:t>
            </w:r>
          </w:p>
        </w:tc>
        <w:tc>
          <w:tcPr>
            <w:tcW w:w="1366" w:type="dxa"/>
            <w:tcBorders>
              <w:top w:val="nil"/>
              <w:left w:val="nil"/>
              <w:bottom w:val="single" w:sz="4" w:space="0" w:color="auto"/>
              <w:right w:val="single" w:sz="4" w:space="0" w:color="auto"/>
            </w:tcBorders>
            <w:shd w:val="clear" w:color="auto" w:fill="auto"/>
            <w:noWrap/>
            <w:hideMark/>
          </w:tcPr>
          <w:p w14:paraId="2178FAD5" w14:textId="77777777" w:rsidR="005F7D50" w:rsidRPr="00781608" w:rsidRDefault="005F7D50"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5.28</w:t>
            </w:r>
          </w:p>
        </w:tc>
        <w:tc>
          <w:tcPr>
            <w:tcW w:w="1379" w:type="dxa"/>
            <w:tcBorders>
              <w:top w:val="nil"/>
              <w:left w:val="nil"/>
              <w:bottom w:val="single" w:sz="4" w:space="0" w:color="auto"/>
              <w:right w:val="single" w:sz="4" w:space="0" w:color="auto"/>
            </w:tcBorders>
            <w:shd w:val="clear" w:color="auto" w:fill="auto"/>
            <w:noWrap/>
            <w:hideMark/>
          </w:tcPr>
          <w:p w14:paraId="393B93EC" w14:textId="77777777" w:rsidR="005F7D50" w:rsidRPr="00781608" w:rsidRDefault="005F7D50"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7.12</w:t>
            </w:r>
          </w:p>
        </w:tc>
        <w:tc>
          <w:tcPr>
            <w:tcW w:w="1276" w:type="dxa"/>
            <w:tcBorders>
              <w:top w:val="nil"/>
              <w:left w:val="nil"/>
              <w:bottom w:val="single" w:sz="4" w:space="0" w:color="auto"/>
              <w:right w:val="single" w:sz="4" w:space="0" w:color="auto"/>
            </w:tcBorders>
            <w:shd w:val="clear" w:color="auto" w:fill="auto"/>
            <w:noWrap/>
            <w:hideMark/>
          </w:tcPr>
          <w:p w14:paraId="3DA696B5" w14:textId="77777777" w:rsidR="005F7D50" w:rsidRPr="00781608" w:rsidRDefault="005F7D50"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1.84</w:t>
            </w:r>
          </w:p>
        </w:tc>
      </w:tr>
    </w:tbl>
    <w:p w14:paraId="348526C6" w14:textId="28DF94DA" w:rsidR="005F7D50" w:rsidRPr="00781608" w:rsidRDefault="008F4D65" w:rsidP="00E85684">
      <w:pPr>
        <w:pStyle w:val="ydp360db5b4yiv6248630976msolistparagraph"/>
        <w:spacing w:beforeAutospacing="0" w:after="200" w:afterAutospacing="0" w:line="276" w:lineRule="auto"/>
        <w:ind w:left="720"/>
        <w:jc w:val="both"/>
        <w:rPr>
          <w:rFonts w:asciiTheme="minorHAnsi" w:hAnsiTheme="minorHAnsi" w:cstheme="minorHAnsi"/>
          <w:b/>
          <w:bCs/>
          <w:sz w:val="24"/>
          <w:szCs w:val="24"/>
        </w:rPr>
      </w:pPr>
      <w:r w:rsidRPr="00781608">
        <w:rPr>
          <w:rFonts w:asciiTheme="minorHAnsi" w:hAnsiTheme="minorHAnsi" w:cstheme="minorHAnsi"/>
          <w:sz w:val="24"/>
          <w:szCs w:val="24"/>
        </w:rPr>
        <w:lastRenderedPageBreak/>
        <w:t xml:space="preserve">Main reason for difference in Approved ABR vis-à-vis Actual ABR is FPPPA charges of Rs .1.86/kWh for </w:t>
      </w:r>
      <w:r w:rsidR="00A918BA" w:rsidRPr="00781608">
        <w:rPr>
          <w:rFonts w:asciiTheme="minorHAnsi" w:hAnsiTheme="minorHAnsi" w:cstheme="minorHAnsi"/>
          <w:sz w:val="24"/>
          <w:szCs w:val="24"/>
        </w:rPr>
        <w:t>FY 2020</w:t>
      </w:r>
      <w:r w:rsidRPr="00781608">
        <w:rPr>
          <w:rFonts w:asciiTheme="minorHAnsi" w:hAnsiTheme="minorHAnsi" w:cstheme="minorHAnsi"/>
          <w:sz w:val="24"/>
          <w:szCs w:val="24"/>
        </w:rPr>
        <w:t xml:space="preserve">-21. It is to note that change in consumption pattern by each consumer also </w:t>
      </w:r>
      <w:r w:rsidR="002D5A3C" w:rsidRPr="00781608">
        <w:rPr>
          <w:rFonts w:asciiTheme="minorHAnsi" w:hAnsiTheme="minorHAnsi" w:cstheme="minorHAnsi"/>
          <w:sz w:val="24"/>
          <w:szCs w:val="24"/>
        </w:rPr>
        <w:t>contribut</w:t>
      </w:r>
      <w:r w:rsidR="00C01A41" w:rsidRPr="00781608">
        <w:rPr>
          <w:rFonts w:asciiTheme="minorHAnsi" w:hAnsiTheme="minorHAnsi" w:cstheme="minorHAnsi"/>
          <w:sz w:val="24"/>
          <w:szCs w:val="24"/>
        </w:rPr>
        <w:t>es</w:t>
      </w:r>
      <w:r w:rsidRPr="00781608">
        <w:rPr>
          <w:rFonts w:asciiTheme="minorHAnsi" w:hAnsiTheme="minorHAnsi" w:cstheme="minorHAnsi"/>
          <w:sz w:val="24"/>
          <w:szCs w:val="24"/>
        </w:rPr>
        <w:t xml:space="preserve"> to change in </w:t>
      </w:r>
      <w:r w:rsidR="00C01A41" w:rsidRPr="00781608">
        <w:rPr>
          <w:rFonts w:asciiTheme="minorHAnsi" w:hAnsiTheme="minorHAnsi" w:cstheme="minorHAnsi"/>
          <w:sz w:val="24"/>
          <w:szCs w:val="24"/>
        </w:rPr>
        <w:t xml:space="preserve">actual ABR as the calculation of </w:t>
      </w:r>
      <w:r w:rsidRPr="00781608">
        <w:rPr>
          <w:rFonts w:asciiTheme="minorHAnsi" w:hAnsiTheme="minorHAnsi" w:cstheme="minorHAnsi"/>
          <w:sz w:val="24"/>
          <w:szCs w:val="24"/>
        </w:rPr>
        <w:t xml:space="preserve">ABR </w:t>
      </w:r>
      <w:r w:rsidR="00C01A41" w:rsidRPr="00781608">
        <w:rPr>
          <w:rFonts w:asciiTheme="minorHAnsi" w:hAnsiTheme="minorHAnsi" w:cstheme="minorHAnsi"/>
          <w:sz w:val="24"/>
          <w:szCs w:val="24"/>
        </w:rPr>
        <w:t xml:space="preserve">for approval </w:t>
      </w:r>
      <w:r w:rsidRPr="00781608">
        <w:rPr>
          <w:rFonts w:asciiTheme="minorHAnsi" w:hAnsiTheme="minorHAnsi" w:cstheme="minorHAnsi"/>
          <w:sz w:val="24"/>
          <w:szCs w:val="24"/>
        </w:rPr>
        <w:t>by the Hon’ble Commission is based on past trend</w:t>
      </w:r>
      <w:r w:rsidR="00C01A41" w:rsidRPr="00781608">
        <w:rPr>
          <w:rFonts w:asciiTheme="minorHAnsi" w:hAnsiTheme="minorHAnsi" w:cstheme="minorHAnsi"/>
          <w:sz w:val="24"/>
          <w:szCs w:val="24"/>
        </w:rPr>
        <w:t xml:space="preserve"> of consumption pattern</w:t>
      </w:r>
      <w:r w:rsidRPr="00781608">
        <w:rPr>
          <w:rFonts w:asciiTheme="minorHAnsi" w:hAnsiTheme="minorHAnsi" w:cstheme="minorHAnsi"/>
          <w:sz w:val="24"/>
          <w:szCs w:val="24"/>
        </w:rPr>
        <w:t>.</w:t>
      </w:r>
    </w:p>
    <w:p w14:paraId="2B1093F7" w14:textId="5801368F" w:rsidR="00AF6934" w:rsidRPr="00781608" w:rsidRDefault="00AF6934" w:rsidP="00E85684">
      <w:pPr>
        <w:pStyle w:val="ydp360db5b4yiv6248630976msolistparagraph"/>
        <w:spacing w:beforeAutospacing="0" w:after="200" w:afterAutospacing="0" w:line="276" w:lineRule="auto"/>
        <w:ind w:left="720"/>
        <w:jc w:val="both"/>
        <w:rPr>
          <w:rFonts w:asciiTheme="minorHAnsi" w:hAnsiTheme="minorHAnsi" w:cstheme="minorHAnsi"/>
          <w:sz w:val="24"/>
          <w:szCs w:val="24"/>
        </w:rPr>
      </w:pPr>
      <w:bookmarkStart w:id="0" w:name="_Hlk93152133"/>
      <w:r w:rsidRPr="00781608">
        <w:rPr>
          <w:rFonts w:asciiTheme="minorHAnsi" w:hAnsiTheme="minorHAnsi" w:cstheme="minorHAnsi"/>
          <w:sz w:val="24"/>
          <w:szCs w:val="24"/>
        </w:rPr>
        <w:t>For Public water works</w:t>
      </w:r>
      <w:r w:rsidR="0072692A" w:rsidRPr="00781608">
        <w:rPr>
          <w:rFonts w:asciiTheme="minorHAnsi" w:hAnsiTheme="minorHAnsi" w:cstheme="minorHAnsi"/>
          <w:sz w:val="24"/>
          <w:szCs w:val="24"/>
        </w:rPr>
        <w:t>,</w:t>
      </w:r>
      <w:r w:rsidRPr="00781608">
        <w:rPr>
          <w:rFonts w:asciiTheme="minorHAnsi" w:hAnsiTheme="minorHAnsi" w:cstheme="minorHAnsi"/>
          <w:sz w:val="24"/>
          <w:szCs w:val="24"/>
        </w:rPr>
        <w:t xml:space="preserve"> </w:t>
      </w:r>
      <w:r w:rsidR="005526F4" w:rsidRPr="00781608">
        <w:rPr>
          <w:rFonts w:asciiTheme="minorHAnsi" w:hAnsiTheme="minorHAnsi" w:cstheme="minorHAnsi"/>
          <w:sz w:val="24"/>
          <w:szCs w:val="24"/>
        </w:rPr>
        <w:t>over and above FPPPA charges, receipt of higher receipt of subsidy of Rs. 37.50 Crore has contributed to higher Actual ABR. UGVCL has received</w:t>
      </w:r>
      <w:r w:rsidR="0072692A" w:rsidRPr="00781608">
        <w:rPr>
          <w:rFonts w:asciiTheme="minorHAnsi" w:hAnsiTheme="minorHAnsi" w:cstheme="minorHAnsi"/>
          <w:sz w:val="24"/>
          <w:szCs w:val="24"/>
        </w:rPr>
        <w:t xml:space="preserve"> subsidy of Rs. 306.70 Crore against </w:t>
      </w:r>
      <w:r w:rsidRPr="00781608">
        <w:rPr>
          <w:rFonts w:asciiTheme="minorHAnsi" w:hAnsiTheme="minorHAnsi" w:cstheme="minorHAnsi"/>
          <w:sz w:val="24"/>
          <w:szCs w:val="24"/>
        </w:rPr>
        <w:t>claim of Rs. 269.02 Cr</w:t>
      </w:r>
      <w:r w:rsidR="0072692A" w:rsidRPr="00781608">
        <w:rPr>
          <w:rFonts w:asciiTheme="minorHAnsi" w:hAnsiTheme="minorHAnsi" w:cstheme="minorHAnsi"/>
          <w:sz w:val="24"/>
          <w:szCs w:val="24"/>
        </w:rPr>
        <w:t>ore</w:t>
      </w:r>
      <w:r w:rsidR="005526F4" w:rsidRPr="00781608">
        <w:rPr>
          <w:rFonts w:asciiTheme="minorHAnsi" w:hAnsiTheme="minorHAnsi" w:cstheme="minorHAnsi"/>
          <w:sz w:val="24"/>
          <w:szCs w:val="24"/>
        </w:rPr>
        <w:t xml:space="preserve"> for FY 2020-21 due to pending claim of past period</w:t>
      </w:r>
      <w:r w:rsidR="0072692A" w:rsidRPr="00781608">
        <w:rPr>
          <w:rFonts w:asciiTheme="minorHAnsi" w:hAnsiTheme="minorHAnsi" w:cstheme="minorHAnsi"/>
          <w:sz w:val="24"/>
          <w:szCs w:val="24"/>
        </w:rPr>
        <w:t>.</w:t>
      </w:r>
    </w:p>
    <w:bookmarkEnd w:id="0"/>
    <w:p w14:paraId="36094612" w14:textId="77777777" w:rsidR="00A56DF7" w:rsidRPr="00781608" w:rsidRDefault="00A56DF7" w:rsidP="00E85684">
      <w:pPr>
        <w:pStyle w:val="ydp360db5b4yiv6248630976msolistparagraph"/>
        <w:numPr>
          <w:ilvl w:val="0"/>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t>As regards the lower actual Distribution Losses reported by UGVCL as compared to target Distribution Losses for FY 2020-21, UGVCL should submit the following data:</w:t>
      </w:r>
    </w:p>
    <w:p w14:paraId="1CD1E420" w14:textId="77777777" w:rsidR="00A56DF7" w:rsidRPr="00781608" w:rsidRDefault="00A56DF7" w:rsidP="00E85684">
      <w:pPr>
        <w:pStyle w:val="ydp360db5b4yiv6248630976msolistparagraph"/>
        <w:numPr>
          <w:ilvl w:val="1"/>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t xml:space="preserve">Comparison of Distribution Loss in FY 2020-21 </w:t>
      </w:r>
      <w:proofErr w:type="spellStart"/>
      <w:r w:rsidRPr="00781608">
        <w:rPr>
          <w:rFonts w:asciiTheme="minorHAnsi" w:eastAsia="Times New Roman" w:hAnsiTheme="minorHAnsi" w:cstheme="minorHAnsi"/>
          <w:sz w:val="24"/>
          <w:szCs w:val="24"/>
        </w:rPr>
        <w:t>w.r.t.</w:t>
      </w:r>
      <w:proofErr w:type="spellEnd"/>
      <w:r w:rsidRPr="00781608">
        <w:rPr>
          <w:rFonts w:asciiTheme="minorHAnsi" w:eastAsia="Times New Roman" w:hAnsiTheme="minorHAnsi" w:cstheme="minorHAnsi"/>
          <w:sz w:val="24"/>
          <w:szCs w:val="24"/>
        </w:rPr>
        <w:t xml:space="preserve"> Distribution Loss in FY 2018-19 and FY </w:t>
      </w:r>
      <w:proofErr w:type="gramStart"/>
      <w:r w:rsidRPr="00781608">
        <w:rPr>
          <w:rFonts w:asciiTheme="minorHAnsi" w:eastAsia="Times New Roman" w:hAnsiTheme="minorHAnsi" w:cstheme="minorHAnsi"/>
          <w:sz w:val="24"/>
          <w:szCs w:val="24"/>
        </w:rPr>
        <w:t>2019-20;</w:t>
      </w:r>
      <w:proofErr w:type="gramEnd"/>
    </w:p>
    <w:p w14:paraId="3B297352" w14:textId="77777777" w:rsidR="00473730" w:rsidRPr="00781608" w:rsidRDefault="00836677" w:rsidP="00E85684">
      <w:pPr>
        <w:pStyle w:val="ydp360db5b4yiv6248630976msolistparagraph"/>
        <w:spacing w:beforeAutospacing="0" w:after="200" w:afterAutospacing="0" w:line="276" w:lineRule="auto"/>
        <w:ind w:left="1440"/>
        <w:jc w:val="both"/>
        <w:rPr>
          <w:rFonts w:asciiTheme="minorHAnsi" w:eastAsia="Times New Roman" w:hAnsiTheme="minorHAnsi" w:cstheme="minorHAnsi"/>
          <w:b/>
          <w:bCs/>
          <w:sz w:val="24"/>
          <w:szCs w:val="24"/>
        </w:rPr>
      </w:pPr>
      <w:r w:rsidRPr="00781608">
        <w:rPr>
          <w:rFonts w:asciiTheme="minorHAnsi" w:eastAsia="Times New Roman" w:hAnsiTheme="minorHAnsi" w:cstheme="minorHAnsi"/>
          <w:b/>
          <w:bCs/>
          <w:sz w:val="24"/>
          <w:szCs w:val="24"/>
        </w:rPr>
        <w:t>Compliance</w:t>
      </w:r>
      <w:r w:rsidR="00473730" w:rsidRPr="00781608">
        <w:rPr>
          <w:rFonts w:asciiTheme="minorHAnsi" w:eastAsia="Times New Roman" w:hAnsiTheme="minorHAnsi" w:cstheme="minorHAnsi"/>
          <w:b/>
          <w:bCs/>
          <w:sz w:val="24"/>
          <w:szCs w:val="24"/>
        </w:rPr>
        <w:t>:</w:t>
      </w:r>
    </w:p>
    <w:tbl>
      <w:tblPr>
        <w:tblW w:w="5881" w:type="dxa"/>
        <w:tblInd w:w="1413" w:type="dxa"/>
        <w:tblLook w:val="04A0" w:firstRow="1" w:lastRow="0" w:firstColumn="1" w:lastColumn="0" w:noHBand="0" w:noVBand="1"/>
      </w:tblPr>
      <w:tblGrid>
        <w:gridCol w:w="1900"/>
        <w:gridCol w:w="1327"/>
        <w:gridCol w:w="1327"/>
        <w:gridCol w:w="1327"/>
      </w:tblGrid>
      <w:tr w:rsidR="003C247B" w:rsidRPr="00781608" w14:paraId="2D155DD9" w14:textId="77777777" w:rsidTr="00473730">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hideMark/>
          </w:tcPr>
          <w:p w14:paraId="4039E682" w14:textId="77777777" w:rsidR="00473730" w:rsidRPr="00781608" w:rsidRDefault="00473730" w:rsidP="00E85684">
            <w:pPr>
              <w:spacing w:line="276" w:lineRule="auto"/>
              <w:rPr>
                <w:rFonts w:asciiTheme="minorHAnsi" w:eastAsia="Times New Roman" w:hAnsiTheme="minorHAnsi" w:cstheme="minorHAnsi"/>
                <w:b/>
                <w:bCs/>
              </w:rPr>
            </w:pPr>
            <w:r w:rsidRPr="00781608">
              <w:rPr>
                <w:rFonts w:asciiTheme="minorHAnsi" w:eastAsia="Times New Roman" w:hAnsiTheme="minorHAnsi" w:cstheme="minorHAnsi"/>
                <w:b/>
                <w:bCs/>
              </w:rPr>
              <w:t>Particular</w:t>
            </w:r>
          </w:p>
        </w:tc>
        <w:tc>
          <w:tcPr>
            <w:tcW w:w="1327" w:type="dxa"/>
            <w:tcBorders>
              <w:top w:val="single" w:sz="4" w:space="0" w:color="auto"/>
              <w:left w:val="nil"/>
              <w:bottom w:val="single" w:sz="4" w:space="0" w:color="auto"/>
              <w:right w:val="single" w:sz="4" w:space="0" w:color="auto"/>
            </w:tcBorders>
            <w:shd w:val="clear" w:color="auto" w:fill="DEEAF6" w:themeFill="accent5" w:themeFillTint="33"/>
            <w:hideMark/>
          </w:tcPr>
          <w:p w14:paraId="084CDB47" w14:textId="77777777" w:rsidR="00473730" w:rsidRPr="00781608" w:rsidRDefault="00473730" w:rsidP="00E85684">
            <w:pPr>
              <w:spacing w:line="276" w:lineRule="auto"/>
              <w:rPr>
                <w:rFonts w:asciiTheme="minorHAnsi" w:eastAsia="Times New Roman" w:hAnsiTheme="minorHAnsi" w:cstheme="minorHAnsi"/>
                <w:b/>
                <w:bCs/>
              </w:rPr>
            </w:pPr>
            <w:r w:rsidRPr="00781608">
              <w:rPr>
                <w:rFonts w:asciiTheme="minorHAnsi" w:eastAsia="Times New Roman" w:hAnsiTheme="minorHAnsi" w:cstheme="minorHAnsi"/>
                <w:b/>
                <w:bCs/>
              </w:rPr>
              <w:t>FY 2018-19</w:t>
            </w:r>
          </w:p>
        </w:tc>
        <w:tc>
          <w:tcPr>
            <w:tcW w:w="1327" w:type="dxa"/>
            <w:tcBorders>
              <w:top w:val="single" w:sz="4" w:space="0" w:color="auto"/>
              <w:left w:val="nil"/>
              <w:bottom w:val="single" w:sz="4" w:space="0" w:color="auto"/>
              <w:right w:val="single" w:sz="4" w:space="0" w:color="auto"/>
            </w:tcBorders>
            <w:shd w:val="clear" w:color="auto" w:fill="DEEAF6" w:themeFill="accent5" w:themeFillTint="33"/>
            <w:hideMark/>
          </w:tcPr>
          <w:p w14:paraId="0784E24D" w14:textId="77777777" w:rsidR="00473730" w:rsidRPr="00781608" w:rsidRDefault="00473730" w:rsidP="00E85684">
            <w:pPr>
              <w:spacing w:line="276" w:lineRule="auto"/>
              <w:rPr>
                <w:rFonts w:asciiTheme="minorHAnsi" w:eastAsia="Times New Roman" w:hAnsiTheme="minorHAnsi" w:cstheme="minorHAnsi"/>
                <w:b/>
                <w:bCs/>
              </w:rPr>
            </w:pPr>
            <w:r w:rsidRPr="00781608">
              <w:rPr>
                <w:rFonts w:asciiTheme="minorHAnsi" w:eastAsia="Times New Roman" w:hAnsiTheme="minorHAnsi" w:cstheme="minorHAnsi"/>
                <w:b/>
                <w:bCs/>
              </w:rPr>
              <w:t>FY 2019-20</w:t>
            </w:r>
          </w:p>
        </w:tc>
        <w:tc>
          <w:tcPr>
            <w:tcW w:w="1327" w:type="dxa"/>
            <w:tcBorders>
              <w:top w:val="single" w:sz="4" w:space="0" w:color="auto"/>
              <w:left w:val="nil"/>
              <w:bottom w:val="single" w:sz="4" w:space="0" w:color="auto"/>
              <w:right w:val="single" w:sz="4" w:space="0" w:color="auto"/>
            </w:tcBorders>
            <w:shd w:val="clear" w:color="auto" w:fill="DEEAF6" w:themeFill="accent5" w:themeFillTint="33"/>
            <w:hideMark/>
          </w:tcPr>
          <w:p w14:paraId="0FEA5D99" w14:textId="77777777" w:rsidR="00473730" w:rsidRPr="00781608" w:rsidRDefault="00473730" w:rsidP="00E85684">
            <w:pPr>
              <w:spacing w:line="276" w:lineRule="auto"/>
              <w:rPr>
                <w:rFonts w:asciiTheme="minorHAnsi" w:eastAsia="Times New Roman" w:hAnsiTheme="minorHAnsi" w:cstheme="minorHAnsi"/>
                <w:b/>
                <w:bCs/>
              </w:rPr>
            </w:pPr>
            <w:r w:rsidRPr="00781608">
              <w:rPr>
                <w:rFonts w:asciiTheme="minorHAnsi" w:eastAsia="Times New Roman" w:hAnsiTheme="minorHAnsi" w:cstheme="minorHAnsi"/>
                <w:b/>
                <w:bCs/>
              </w:rPr>
              <w:t>FY 2020-21</w:t>
            </w:r>
          </w:p>
        </w:tc>
      </w:tr>
      <w:tr w:rsidR="00473730" w:rsidRPr="00781608" w14:paraId="20278F25" w14:textId="77777777" w:rsidTr="00473730">
        <w:trPr>
          <w:trHeight w:val="300"/>
        </w:trPr>
        <w:tc>
          <w:tcPr>
            <w:tcW w:w="1900" w:type="dxa"/>
            <w:tcBorders>
              <w:top w:val="nil"/>
              <w:left w:val="single" w:sz="4" w:space="0" w:color="auto"/>
              <w:bottom w:val="single" w:sz="4" w:space="0" w:color="auto"/>
              <w:right w:val="single" w:sz="4" w:space="0" w:color="auto"/>
            </w:tcBorders>
            <w:shd w:val="clear" w:color="auto" w:fill="auto"/>
            <w:hideMark/>
          </w:tcPr>
          <w:p w14:paraId="27BE0834" w14:textId="77777777" w:rsidR="00473730" w:rsidRPr="00781608" w:rsidRDefault="00473730"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UGVCL</w:t>
            </w:r>
          </w:p>
        </w:tc>
        <w:tc>
          <w:tcPr>
            <w:tcW w:w="1327" w:type="dxa"/>
            <w:tcBorders>
              <w:top w:val="nil"/>
              <w:left w:val="nil"/>
              <w:bottom w:val="single" w:sz="4" w:space="0" w:color="auto"/>
              <w:right w:val="single" w:sz="4" w:space="0" w:color="auto"/>
            </w:tcBorders>
            <w:shd w:val="clear" w:color="auto" w:fill="auto"/>
            <w:noWrap/>
            <w:hideMark/>
          </w:tcPr>
          <w:p w14:paraId="404D7979" w14:textId="77777777" w:rsidR="00473730" w:rsidRPr="00781608" w:rsidRDefault="00473730"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11.20% </w:t>
            </w:r>
          </w:p>
        </w:tc>
        <w:tc>
          <w:tcPr>
            <w:tcW w:w="1327" w:type="dxa"/>
            <w:tcBorders>
              <w:top w:val="nil"/>
              <w:left w:val="nil"/>
              <w:bottom w:val="single" w:sz="4" w:space="0" w:color="auto"/>
              <w:right w:val="single" w:sz="4" w:space="0" w:color="auto"/>
            </w:tcBorders>
            <w:shd w:val="clear" w:color="auto" w:fill="auto"/>
            <w:noWrap/>
            <w:hideMark/>
          </w:tcPr>
          <w:p w14:paraId="7739F4D7" w14:textId="77777777" w:rsidR="00473730" w:rsidRPr="00781608" w:rsidRDefault="00473730"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6.73% </w:t>
            </w:r>
          </w:p>
        </w:tc>
        <w:tc>
          <w:tcPr>
            <w:tcW w:w="1327" w:type="dxa"/>
            <w:tcBorders>
              <w:top w:val="nil"/>
              <w:left w:val="nil"/>
              <w:bottom w:val="single" w:sz="4" w:space="0" w:color="auto"/>
              <w:right w:val="single" w:sz="4" w:space="0" w:color="auto"/>
            </w:tcBorders>
            <w:shd w:val="clear" w:color="auto" w:fill="auto"/>
            <w:noWrap/>
            <w:hideMark/>
          </w:tcPr>
          <w:p w14:paraId="0572CCCD" w14:textId="77777777" w:rsidR="00473730" w:rsidRPr="00781608" w:rsidRDefault="00473730"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6.76%</w:t>
            </w:r>
          </w:p>
        </w:tc>
      </w:tr>
    </w:tbl>
    <w:p w14:paraId="28AB3A89" w14:textId="77777777" w:rsidR="00473730" w:rsidRPr="00781608" w:rsidRDefault="00473730" w:rsidP="00E85684">
      <w:pPr>
        <w:pStyle w:val="ydp360db5b4yiv6248630976msolistparagraph"/>
        <w:spacing w:beforeAutospacing="0" w:after="200" w:afterAutospacing="0" w:line="276" w:lineRule="auto"/>
        <w:ind w:left="1440"/>
        <w:jc w:val="both"/>
        <w:rPr>
          <w:rFonts w:asciiTheme="minorHAnsi" w:hAnsiTheme="minorHAnsi" w:cstheme="minorHAnsi"/>
          <w:sz w:val="24"/>
          <w:szCs w:val="24"/>
        </w:rPr>
      </w:pPr>
    </w:p>
    <w:p w14:paraId="4BF1672C" w14:textId="77777777" w:rsidR="00A56DF7" w:rsidRPr="00781608" w:rsidRDefault="00A56DF7" w:rsidP="00E85684">
      <w:pPr>
        <w:pStyle w:val="ydp360db5b4yiv6248630976msolistparagraph"/>
        <w:numPr>
          <w:ilvl w:val="1"/>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t xml:space="preserve">Division-wise losses in FY 2018-19, FY 2019-20, and FY </w:t>
      </w:r>
      <w:proofErr w:type="gramStart"/>
      <w:r w:rsidRPr="00781608">
        <w:rPr>
          <w:rFonts w:asciiTheme="minorHAnsi" w:eastAsia="Times New Roman" w:hAnsiTheme="minorHAnsi" w:cstheme="minorHAnsi"/>
          <w:sz w:val="24"/>
          <w:szCs w:val="24"/>
        </w:rPr>
        <w:t>2020-21;</w:t>
      </w:r>
      <w:proofErr w:type="gramEnd"/>
    </w:p>
    <w:p w14:paraId="070FCED1" w14:textId="77777777" w:rsidR="00F0477C" w:rsidRPr="00781608" w:rsidRDefault="00C81B55" w:rsidP="00F0477C">
      <w:pPr>
        <w:pStyle w:val="ListParagraph"/>
        <w:spacing w:line="276" w:lineRule="auto"/>
        <w:ind w:left="1418"/>
        <w:jc w:val="both"/>
        <w:rPr>
          <w:rFonts w:asciiTheme="minorHAnsi" w:hAnsiTheme="minorHAnsi" w:cstheme="minorHAnsi"/>
        </w:rPr>
      </w:pPr>
      <w:bookmarkStart w:id="1" w:name="_Hlk93152577"/>
      <w:r w:rsidRPr="00781608">
        <w:rPr>
          <w:rFonts w:asciiTheme="minorHAnsi" w:eastAsia="Times New Roman" w:hAnsiTheme="minorHAnsi" w:cstheme="minorHAnsi"/>
          <w:b/>
          <w:bCs/>
          <w:sz w:val="24"/>
          <w:szCs w:val="24"/>
        </w:rPr>
        <w:t>Compliance:</w:t>
      </w:r>
      <w:r w:rsidRPr="00781608">
        <w:rPr>
          <w:rFonts w:asciiTheme="minorHAnsi" w:eastAsia="Times New Roman" w:hAnsiTheme="minorHAnsi" w:cstheme="minorHAnsi"/>
          <w:sz w:val="24"/>
          <w:szCs w:val="24"/>
        </w:rPr>
        <w:t xml:space="preserve"> </w:t>
      </w:r>
      <w:r w:rsidR="00F0477C" w:rsidRPr="00781608">
        <w:rPr>
          <w:rFonts w:asciiTheme="minorHAnsi" w:hAnsiTheme="minorHAnsi" w:cstheme="minorHAnsi"/>
        </w:rPr>
        <w:t>UGVCL submits that “Overall Distribution losses” are worked out at Division Level based on input energy recorded in the “Energy Meters” provided at “Feeder Level” (</w:t>
      </w:r>
      <w:proofErr w:type="gramStart"/>
      <w:r w:rsidR="00F0477C" w:rsidRPr="00781608">
        <w:rPr>
          <w:rFonts w:asciiTheme="minorHAnsi" w:hAnsiTheme="minorHAnsi" w:cstheme="minorHAnsi"/>
        </w:rPr>
        <w:t>i.e.</w:t>
      </w:r>
      <w:proofErr w:type="gramEnd"/>
      <w:r w:rsidR="00F0477C" w:rsidRPr="00781608">
        <w:rPr>
          <w:rFonts w:asciiTheme="minorHAnsi" w:hAnsiTheme="minorHAnsi" w:cstheme="minorHAnsi"/>
        </w:rPr>
        <w:t xml:space="preserve"> energy input/sent units in the distribution system and energy recorded in the “Consumers Meter” (i.e. energy output/sold units) during the given period of time. It includes all types of energy transactions including energy transactions due to wheeling of power under open access.</w:t>
      </w:r>
    </w:p>
    <w:p w14:paraId="047DD483" w14:textId="77777777" w:rsidR="00F0477C" w:rsidRPr="00781608" w:rsidRDefault="00F0477C" w:rsidP="00F0477C">
      <w:pPr>
        <w:pStyle w:val="ListParagraph"/>
        <w:spacing w:line="276" w:lineRule="auto"/>
        <w:ind w:left="1418"/>
        <w:jc w:val="both"/>
        <w:rPr>
          <w:rFonts w:asciiTheme="minorHAnsi" w:hAnsiTheme="minorHAnsi" w:cstheme="minorHAnsi"/>
        </w:rPr>
      </w:pPr>
    </w:p>
    <w:p w14:paraId="6A4E5BFC" w14:textId="77777777" w:rsidR="00F0477C" w:rsidRPr="00781608" w:rsidRDefault="00F0477C" w:rsidP="00F0477C">
      <w:pPr>
        <w:pStyle w:val="ListParagraph"/>
        <w:spacing w:line="276" w:lineRule="auto"/>
        <w:ind w:left="1418"/>
        <w:jc w:val="both"/>
        <w:rPr>
          <w:rFonts w:asciiTheme="minorHAnsi" w:hAnsiTheme="minorHAnsi" w:cstheme="minorHAnsi"/>
        </w:rPr>
      </w:pPr>
      <w:r w:rsidRPr="00781608">
        <w:rPr>
          <w:rFonts w:asciiTheme="minorHAnsi" w:hAnsiTheme="minorHAnsi" w:cstheme="minorHAnsi"/>
        </w:rPr>
        <w:t>Whereas losses considered in the True up petition based on Books of Accounts, depicts the figures of the “Distribution Loss” considering the purchase and sale of Power for its retail business only i.e.  Excluding wheeled energy.  Therefore, Division wise Distribution Loss level information may not serve the purpose.</w:t>
      </w:r>
    </w:p>
    <w:bookmarkEnd w:id="1"/>
    <w:p w14:paraId="5B2BCDCD" w14:textId="77777777" w:rsidR="00C81B55" w:rsidRPr="00781608" w:rsidRDefault="00C81B55" w:rsidP="00C81B55">
      <w:pPr>
        <w:spacing w:after="120" w:line="276" w:lineRule="auto"/>
        <w:ind w:left="1440"/>
        <w:jc w:val="both"/>
        <w:rPr>
          <w:rFonts w:asciiTheme="minorHAnsi" w:hAnsiTheme="minorHAnsi" w:cstheme="minorHAnsi"/>
          <w:sz w:val="24"/>
          <w:szCs w:val="24"/>
        </w:rPr>
      </w:pPr>
    </w:p>
    <w:p w14:paraId="3A8329F5" w14:textId="77777777" w:rsidR="00A56DF7" w:rsidRPr="00781608" w:rsidRDefault="00A56DF7" w:rsidP="00C81B55">
      <w:pPr>
        <w:pStyle w:val="ydp360db5b4yiv6248630976msolistparagraph"/>
        <w:numPr>
          <w:ilvl w:val="1"/>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t xml:space="preserve">Category-wise Consumer mix in percentage in FY 2018-19, FY 2019-20, and FY </w:t>
      </w:r>
      <w:proofErr w:type="gramStart"/>
      <w:r w:rsidRPr="00781608">
        <w:rPr>
          <w:rFonts w:asciiTheme="minorHAnsi" w:eastAsia="Times New Roman" w:hAnsiTheme="minorHAnsi" w:cstheme="minorHAnsi"/>
          <w:sz w:val="24"/>
          <w:szCs w:val="24"/>
        </w:rPr>
        <w:t>2020-21;</w:t>
      </w:r>
      <w:proofErr w:type="gramEnd"/>
    </w:p>
    <w:p w14:paraId="54ED78D7" w14:textId="77777777" w:rsidR="00667C58" w:rsidRPr="00781608" w:rsidRDefault="00836677" w:rsidP="00E85684">
      <w:pPr>
        <w:pStyle w:val="ydp360db5b4yiv6248630976msolistparagraph"/>
        <w:spacing w:beforeAutospacing="0" w:after="200" w:afterAutospacing="0" w:line="276" w:lineRule="auto"/>
        <w:ind w:left="720" w:firstLine="720"/>
        <w:jc w:val="both"/>
        <w:rPr>
          <w:rFonts w:asciiTheme="minorHAnsi" w:eastAsia="Times New Roman" w:hAnsiTheme="minorHAnsi" w:cstheme="minorHAnsi"/>
          <w:b/>
          <w:bCs/>
          <w:sz w:val="24"/>
          <w:szCs w:val="24"/>
        </w:rPr>
      </w:pPr>
      <w:r w:rsidRPr="00781608">
        <w:rPr>
          <w:rFonts w:asciiTheme="minorHAnsi" w:eastAsia="Times New Roman" w:hAnsiTheme="minorHAnsi" w:cstheme="minorHAnsi"/>
          <w:b/>
          <w:bCs/>
          <w:sz w:val="24"/>
          <w:szCs w:val="24"/>
        </w:rPr>
        <w:t>Compliance</w:t>
      </w:r>
      <w:r w:rsidR="00667C58" w:rsidRPr="00781608">
        <w:rPr>
          <w:rFonts w:asciiTheme="minorHAnsi" w:eastAsia="Times New Roman" w:hAnsiTheme="minorHAnsi" w:cstheme="minorHAnsi"/>
          <w:b/>
          <w:bCs/>
          <w:sz w:val="24"/>
          <w:szCs w:val="24"/>
        </w:rPr>
        <w:t>:</w:t>
      </w:r>
    </w:p>
    <w:tbl>
      <w:tblPr>
        <w:tblW w:w="7089"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2169"/>
        <w:gridCol w:w="1327"/>
        <w:gridCol w:w="1327"/>
        <w:gridCol w:w="1327"/>
      </w:tblGrid>
      <w:tr w:rsidR="003C247B" w:rsidRPr="00781608" w14:paraId="7B3910AA" w14:textId="77777777" w:rsidTr="005526F4">
        <w:trPr>
          <w:trHeight w:val="300"/>
          <w:tblHeader/>
        </w:trPr>
        <w:tc>
          <w:tcPr>
            <w:tcW w:w="939" w:type="dxa"/>
            <w:shd w:val="clear" w:color="auto" w:fill="DEEAF6" w:themeFill="accent5" w:themeFillTint="33"/>
          </w:tcPr>
          <w:p w14:paraId="3541ABF8" w14:textId="77777777" w:rsidR="00667C58" w:rsidRPr="00781608" w:rsidRDefault="00667C58" w:rsidP="00E85684">
            <w:pPr>
              <w:spacing w:line="276" w:lineRule="auto"/>
              <w:rPr>
                <w:rFonts w:asciiTheme="minorHAnsi" w:hAnsiTheme="minorHAnsi" w:cstheme="minorHAnsi"/>
                <w:b/>
                <w:bCs/>
              </w:rPr>
            </w:pPr>
            <w:r w:rsidRPr="00781608">
              <w:rPr>
                <w:rFonts w:asciiTheme="minorHAnsi" w:hAnsiTheme="minorHAnsi" w:cstheme="minorHAnsi"/>
                <w:b/>
                <w:bCs/>
              </w:rPr>
              <w:t>Sr. No.</w:t>
            </w:r>
          </w:p>
        </w:tc>
        <w:tc>
          <w:tcPr>
            <w:tcW w:w="2169" w:type="dxa"/>
            <w:shd w:val="clear" w:color="auto" w:fill="DEEAF6" w:themeFill="accent5" w:themeFillTint="33"/>
            <w:noWrap/>
            <w:hideMark/>
          </w:tcPr>
          <w:p w14:paraId="336F1718" w14:textId="77777777" w:rsidR="00667C58" w:rsidRPr="00781608" w:rsidRDefault="00667C58" w:rsidP="00E85684">
            <w:pPr>
              <w:spacing w:line="276" w:lineRule="auto"/>
              <w:rPr>
                <w:rFonts w:asciiTheme="minorHAnsi" w:eastAsia="Times New Roman" w:hAnsiTheme="minorHAnsi" w:cstheme="minorHAnsi"/>
                <w:b/>
                <w:bCs/>
              </w:rPr>
            </w:pPr>
            <w:r w:rsidRPr="00781608">
              <w:rPr>
                <w:rFonts w:asciiTheme="minorHAnsi" w:hAnsiTheme="minorHAnsi" w:cstheme="minorHAnsi"/>
                <w:b/>
                <w:bCs/>
              </w:rPr>
              <w:t> Consumer Category</w:t>
            </w:r>
          </w:p>
        </w:tc>
        <w:tc>
          <w:tcPr>
            <w:tcW w:w="1327" w:type="dxa"/>
            <w:shd w:val="clear" w:color="auto" w:fill="DEEAF6" w:themeFill="accent5" w:themeFillTint="33"/>
            <w:hideMark/>
          </w:tcPr>
          <w:p w14:paraId="47D5D0EE" w14:textId="77777777" w:rsidR="00667C58" w:rsidRPr="00781608" w:rsidRDefault="00667C58" w:rsidP="00E85684">
            <w:pPr>
              <w:spacing w:line="276" w:lineRule="auto"/>
              <w:rPr>
                <w:rFonts w:asciiTheme="minorHAnsi" w:eastAsia="Times New Roman" w:hAnsiTheme="minorHAnsi" w:cstheme="minorHAnsi"/>
                <w:b/>
                <w:bCs/>
              </w:rPr>
            </w:pPr>
            <w:r w:rsidRPr="00781608">
              <w:rPr>
                <w:rFonts w:asciiTheme="minorHAnsi" w:eastAsia="Times New Roman" w:hAnsiTheme="minorHAnsi" w:cstheme="minorHAnsi"/>
                <w:b/>
                <w:bCs/>
              </w:rPr>
              <w:t>FY 2018-19</w:t>
            </w:r>
          </w:p>
        </w:tc>
        <w:tc>
          <w:tcPr>
            <w:tcW w:w="1327" w:type="dxa"/>
            <w:shd w:val="clear" w:color="auto" w:fill="DEEAF6" w:themeFill="accent5" w:themeFillTint="33"/>
            <w:hideMark/>
          </w:tcPr>
          <w:p w14:paraId="70BD12CC" w14:textId="77777777" w:rsidR="00667C58" w:rsidRPr="00781608" w:rsidRDefault="00667C58" w:rsidP="00E85684">
            <w:pPr>
              <w:spacing w:line="276" w:lineRule="auto"/>
              <w:rPr>
                <w:rFonts w:asciiTheme="minorHAnsi" w:eastAsia="Times New Roman" w:hAnsiTheme="minorHAnsi" w:cstheme="minorHAnsi"/>
                <w:b/>
                <w:bCs/>
              </w:rPr>
            </w:pPr>
            <w:r w:rsidRPr="00781608">
              <w:rPr>
                <w:rFonts w:asciiTheme="minorHAnsi" w:eastAsia="Times New Roman" w:hAnsiTheme="minorHAnsi" w:cstheme="minorHAnsi"/>
                <w:b/>
                <w:bCs/>
              </w:rPr>
              <w:t>FY 2019-20</w:t>
            </w:r>
          </w:p>
        </w:tc>
        <w:tc>
          <w:tcPr>
            <w:tcW w:w="1327" w:type="dxa"/>
            <w:shd w:val="clear" w:color="auto" w:fill="DEEAF6" w:themeFill="accent5" w:themeFillTint="33"/>
            <w:hideMark/>
          </w:tcPr>
          <w:p w14:paraId="2087223C" w14:textId="77777777" w:rsidR="00667C58" w:rsidRPr="00781608" w:rsidRDefault="00667C58" w:rsidP="00E85684">
            <w:pPr>
              <w:spacing w:line="276" w:lineRule="auto"/>
              <w:rPr>
                <w:rFonts w:asciiTheme="minorHAnsi" w:eastAsia="Times New Roman" w:hAnsiTheme="minorHAnsi" w:cstheme="minorHAnsi"/>
                <w:b/>
                <w:bCs/>
              </w:rPr>
            </w:pPr>
            <w:r w:rsidRPr="00781608">
              <w:rPr>
                <w:rFonts w:asciiTheme="minorHAnsi" w:eastAsia="Times New Roman" w:hAnsiTheme="minorHAnsi" w:cstheme="minorHAnsi"/>
                <w:b/>
                <w:bCs/>
              </w:rPr>
              <w:t>FY 2020-21</w:t>
            </w:r>
          </w:p>
        </w:tc>
      </w:tr>
      <w:tr w:rsidR="003C247B" w:rsidRPr="00781608" w14:paraId="38908FBA" w14:textId="77777777" w:rsidTr="001E7990">
        <w:trPr>
          <w:trHeight w:val="300"/>
        </w:trPr>
        <w:tc>
          <w:tcPr>
            <w:tcW w:w="939" w:type="dxa"/>
          </w:tcPr>
          <w:p w14:paraId="574144CA" w14:textId="77777777" w:rsidR="00667C58" w:rsidRPr="00781608" w:rsidRDefault="00667C58" w:rsidP="00E85684">
            <w:pPr>
              <w:spacing w:line="276" w:lineRule="auto"/>
              <w:jc w:val="center"/>
              <w:rPr>
                <w:rFonts w:asciiTheme="minorHAnsi" w:hAnsiTheme="minorHAnsi" w:cstheme="minorHAnsi"/>
              </w:rPr>
            </w:pPr>
            <w:r w:rsidRPr="00781608">
              <w:rPr>
                <w:rFonts w:asciiTheme="minorHAnsi" w:hAnsiTheme="minorHAnsi" w:cstheme="minorHAnsi"/>
              </w:rPr>
              <w:t>1</w:t>
            </w:r>
          </w:p>
        </w:tc>
        <w:tc>
          <w:tcPr>
            <w:tcW w:w="2169" w:type="dxa"/>
            <w:shd w:val="clear" w:color="auto" w:fill="auto"/>
            <w:vAlign w:val="center"/>
            <w:hideMark/>
          </w:tcPr>
          <w:p w14:paraId="7DF8DD1C" w14:textId="77777777" w:rsidR="00667C58" w:rsidRPr="00781608" w:rsidRDefault="00667C58" w:rsidP="00E85684">
            <w:pPr>
              <w:spacing w:line="276" w:lineRule="auto"/>
              <w:rPr>
                <w:rFonts w:asciiTheme="minorHAnsi" w:eastAsia="Times New Roman" w:hAnsiTheme="minorHAnsi" w:cstheme="minorHAnsi"/>
              </w:rPr>
            </w:pPr>
            <w:r w:rsidRPr="00781608">
              <w:rPr>
                <w:rFonts w:asciiTheme="minorHAnsi" w:hAnsiTheme="minorHAnsi" w:cstheme="minorHAnsi"/>
              </w:rPr>
              <w:t>RGP</w:t>
            </w:r>
          </w:p>
        </w:tc>
        <w:tc>
          <w:tcPr>
            <w:tcW w:w="1327" w:type="dxa"/>
            <w:shd w:val="clear" w:color="auto" w:fill="auto"/>
            <w:noWrap/>
          </w:tcPr>
          <w:p w14:paraId="4F47724F"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77.61%</w:t>
            </w:r>
          </w:p>
        </w:tc>
        <w:tc>
          <w:tcPr>
            <w:tcW w:w="1327" w:type="dxa"/>
            <w:shd w:val="clear" w:color="auto" w:fill="auto"/>
            <w:noWrap/>
          </w:tcPr>
          <w:p w14:paraId="02F91359"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77.31%</w:t>
            </w:r>
          </w:p>
        </w:tc>
        <w:tc>
          <w:tcPr>
            <w:tcW w:w="1327" w:type="dxa"/>
            <w:shd w:val="clear" w:color="auto" w:fill="auto"/>
            <w:noWrap/>
          </w:tcPr>
          <w:p w14:paraId="2867FE39"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76.94%</w:t>
            </w:r>
          </w:p>
        </w:tc>
      </w:tr>
      <w:tr w:rsidR="003C247B" w:rsidRPr="00781608" w14:paraId="1ADEF4E7" w14:textId="77777777" w:rsidTr="001E7990">
        <w:trPr>
          <w:trHeight w:val="300"/>
        </w:trPr>
        <w:tc>
          <w:tcPr>
            <w:tcW w:w="939" w:type="dxa"/>
          </w:tcPr>
          <w:p w14:paraId="1CE693D6" w14:textId="77777777" w:rsidR="00667C58" w:rsidRPr="00781608" w:rsidRDefault="00667C58" w:rsidP="00E85684">
            <w:pPr>
              <w:spacing w:line="276" w:lineRule="auto"/>
              <w:jc w:val="center"/>
              <w:rPr>
                <w:rFonts w:asciiTheme="minorHAnsi" w:hAnsiTheme="minorHAnsi" w:cstheme="minorHAnsi"/>
              </w:rPr>
            </w:pPr>
            <w:r w:rsidRPr="00781608">
              <w:rPr>
                <w:rFonts w:asciiTheme="minorHAnsi" w:hAnsiTheme="minorHAnsi" w:cstheme="minorHAnsi"/>
              </w:rPr>
              <w:t>2</w:t>
            </w:r>
          </w:p>
        </w:tc>
        <w:tc>
          <w:tcPr>
            <w:tcW w:w="2169" w:type="dxa"/>
            <w:shd w:val="clear" w:color="auto" w:fill="auto"/>
            <w:vAlign w:val="center"/>
          </w:tcPr>
          <w:p w14:paraId="54C2343C" w14:textId="77777777" w:rsidR="00667C58" w:rsidRPr="00781608" w:rsidRDefault="00667C58" w:rsidP="00E85684">
            <w:pPr>
              <w:spacing w:line="276" w:lineRule="auto"/>
              <w:rPr>
                <w:rFonts w:asciiTheme="minorHAnsi" w:eastAsia="Times New Roman" w:hAnsiTheme="minorHAnsi" w:cstheme="minorHAnsi"/>
              </w:rPr>
            </w:pPr>
            <w:r w:rsidRPr="00781608">
              <w:rPr>
                <w:rFonts w:asciiTheme="minorHAnsi" w:hAnsiTheme="minorHAnsi" w:cstheme="minorHAnsi"/>
              </w:rPr>
              <w:t>GLP</w:t>
            </w:r>
          </w:p>
        </w:tc>
        <w:tc>
          <w:tcPr>
            <w:tcW w:w="1327" w:type="dxa"/>
            <w:shd w:val="clear" w:color="auto" w:fill="auto"/>
            <w:noWrap/>
          </w:tcPr>
          <w:p w14:paraId="395AC42E"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1.12%</w:t>
            </w:r>
          </w:p>
        </w:tc>
        <w:tc>
          <w:tcPr>
            <w:tcW w:w="1327" w:type="dxa"/>
            <w:shd w:val="clear" w:color="auto" w:fill="auto"/>
            <w:noWrap/>
          </w:tcPr>
          <w:p w14:paraId="6A24DF24"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1.13%</w:t>
            </w:r>
          </w:p>
        </w:tc>
        <w:tc>
          <w:tcPr>
            <w:tcW w:w="1327" w:type="dxa"/>
            <w:shd w:val="clear" w:color="auto" w:fill="auto"/>
            <w:noWrap/>
          </w:tcPr>
          <w:p w14:paraId="23915E64"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1.12%</w:t>
            </w:r>
          </w:p>
        </w:tc>
      </w:tr>
      <w:tr w:rsidR="003C247B" w:rsidRPr="00781608" w14:paraId="1BF6C977" w14:textId="77777777" w:rsidTr="001E7990">
        <w:trPr>
          <w:trHeight w:val="300"/>
        </w:trPr>
        <w:tc>
          <w:tcPr>
            <w:tcW w:w="939" w:type="dxa"/>
          </w:tcPr>
          <w:p w14:paraId="7665FBD6" w14:textId="77777777" w:rsidR="00667C58" w:rsidRPr="00781608" w:rsidRDefault="00667C58" w:rsidP="00E85684">
            <w:pPr>
              <w:spacing w:line="276" w:lineRule="auto"/>
              <w:jc w:val="center"/>
              <w:rPr>
                <w:rFonts w:asciiTheme="minorHAnsi" w:hAnsiTheme="minorHAnsi" w:cstheme="minorHAnsi"/>
              </w:rPr>
            </w:pPr>
            <w:r w:rsidRPr="00781608">
              <w:rPr>
                <w:rFonts w:asciiTheme="minorHAnsi" w:hAnsiTheme="minorHAnsi" w:cstheme="minorHAnsi"/>
              </w:rPr>
              <w:t>3</w:t>
            </w:r>
          </w:p>
        </w:tc>
        <w:tc>
          <w:tcPr>
            <w:tcW w:w="2169" w:type="dxa"/>
            <w:shd w:val="clear" w:color="auto" w:fill="auto"/>
            <w:vAlign w:val="center"/>
          </w:tcPr>
          <w:p w14:paraId="417B2A3E" w14:textId="77777777" w:rsidR="00667C58" w:rsidRPr="00781608" w:rsidRDefault="00667C58" w:rsidP="00E85684">
            <w:pPr>
              <w:spacing w:line="276" w:lineRule="auto"/>
              <w:rPr>
                <w:rFonts w:asciiTheme="minorHAnsi" w:eastAsia="Times New Roman" w:hAnsiTheme="minorHAnsi" w:cstheme="minorHAnsi"/>
              </w:rPr>
            </w:pPr>
            <w:r w:rsidRPr="00781608">
              <w:rPr>
                <w:rFonts w:asciiTheme="minorHAnsi" w:hAnsiTheme="minorHAnsi" w:cstheme="minorHAnsi"/>
              </w:rPr>
              <w:t>Non-RGP &amp; LTMD</w:t>
            </w:r>
          </w:p>
        </w:tc>
        <w:tc>
          <w:tcPr>
            <w:tcW w:w="1327" w:type="dxa"/>
            <w:shd w:val="clear" w:color="auto" w:fill="auto"/>
            <w:noWrap/>
          </w:tcPr>
          <w:p w14:paraId="2D105CC6"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10.29%</w:t>
            </w:r>
          </w:p>
        </w:tc>
        <w:tc>
          <w:tcPr>
            <w:tcW w:w="1327" w:type="dxa"/>
            <w:shd w:val="clear" w:color="auto" w:fill="auto"/>
            <w:noWrap/>
          </w:tcPr>
          <w:p w14:paraId="67C3E002"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10.48%</w:t>
            </w:r>
          </w:p>
        </w:tc>
        <w:tc>
          <w:tcPr>
            <w:tcW w:w="1327" w:type="dxa"/>
            <w:shd w:val="clear" w:color="auto" w:fill="auto"/>
            <w:noWrap/>
          </w:tcPr>
          <w:p w14:paraId="6075A2E3"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10.71%</w:t>
            </w:r>
          </w:p>
        </w:tc>
      </w:tr>
      <w:tr w:rsidR="003C247B" w:rsidRPr="00781608" w14:paraId="5EC04B3B" w14:textId="77777777" w:rsidTr="001E7990">
        <w:trPr>
          <w:trHeight w:val="300"/>
        </w:trPr>
        <w:tc>
          <w:tcPr>
            <w:tcW w:w="939" w:type="dxa"/>
          </w:tcPr>
          <w:p w14:paraId="659B9C64" w14:textId="77777777" w:rsidR="00667C58" w:rsidRPr="00781608" w:rsidRDefault="00667C58" w:rsidP="00E85684">
            <w:pPr>
              <w:spacing w:line="276" w:lineRule="auto"/>
              <w:jc w:val="center"/>
              <w:rPr>
                <w:rFonts w:asciiTheme="minorHAnsi" w:hAnsiTheme="minorHAnsi" w:cstheme="minorHAnsi"/>
              </w:rPr>
            </w:pPr>
            <w:r w:rsidRPr="00781608">
              <w:rPr>
                <w:rFonts w:asciiTheme="minorHAnsi" w:hAnsiTheme="minorHAnsi" w:cstheme="minorHAnsi"/>
              </w:rPr>
              <w:lastRenderedPageBreak/>
              <w:t>4</w:t>
            </w:r>
          </w:p>
        </w:tc>
        <w:tc>
          <w:tcPr>
            <w:tcW w:w="2169" w:type="dxa"/>
            <w:shd w:val="clear" w:color="auto" w:fill="auto"/>
            <w:vAlign w:val="center"/>
          </w:tcPr>
          <w:p w14:paraId="1DCB9115" w14:textId="77777777" w:rsidR="00667C58" w:rsidRPr="00781608" w:rsidRDefault="00667C58" w:rsidP="00E85684">
            <w:pPr>
              <w:spacing w:line="276" w:lineRule="auto"/>
              <w:rPr>
                <w:rFonts w:asciiTheme="minorHAnsi" w:eastAsia="Times New Roman" w:hAnsiTheme="minorHAnsi" w:cstheme="minorHAnsi"/>
              </w:rPr>
            </w:pPr>
            <w:r w:rsidRPr="00781608">
              <w:rPr>
                <w:rFonts w:asciiTheme="minorHAnsi" w:hAnsiTheme="minorHAnsi" w:cstheme="minorHAnsi"/>
              </w:rPr>
              <w:t>Public Water Works</w:t>
            </w:r>
          </w:p>
        </w:tc>
        <w:tc>
          <w:tcPr>
            <w:tcW w:w="1327" w:type="dxa"/>
            <w:shd w:val="clear" w:color="auto" w:fill="auto"/>
            <w:noWrap/>
          </w:tcPr>
          <w:p w14:paraId="2589838F"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0.61%</w:t>
            </w:r>
          </w:p>
        </w:tc>
        <w:tc>
          <w:tcPr>
            <w:tcW w:w="1327" w:type="dxa"/>
            <w:shd w:val="clear" w:color="auto" w:fill="auto"/>
            <w:noWrap/>
          </w:tcPr>
          <w:p w14:paraId="2788CFE1"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0.62%</w:t>
            </w:r>
          </w:p>
        </w:tc>
        <w:tc>
          <w:tcPr>
            <w:tcW w:w="1327" w:type="dxa"/>
            <w:shd w:val="clear" w:color="auto" w:fill="auto"/>
            <w:noWrap/>
          </w:tcPr>
          <w:p w14:paraId="469BB6CA"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0.62%</w:t>
            </w:r>
          </w:p>
        </w:tc>
      </w:tr>
      <w:tr w:rsidR="003C247B" w:rsidRPr="00781608" w14:paraId="2F631996" w14:textId="77777777" w:rsidTr="001E7990">
        <w:trPr>
          <w:trHeight w:val="300"/>
        </w:trPr>
        <w:tc>
          <w:tcPr>
            <w:tcW w:w="939" w:type="dxa"/>
          </w:tcPr>
          <w:p w14:paraId="12130D33" w14:textId="77777777" w:rsidR="00667C58" w:rsidRPr="00781608" w:rsidRDefault="00667C58" w:rsidP="00E85684">
            <w:pPr>
              <w:spacing w:line="276" w:lineRule="auto"/>
              <w:jc w:val="center"/>
              <w:rPr>
                <w:rFonts w:asciiTheme="minorHAnsi" w:hAnsiTheme="minorHAnsi" w:cstheme="minorHAnsi"/>
              </w:rPr>
            </w:pPr>
            <w:r w:rsidRPr="00781608">
              <w:rPr>
                <w:rFonts w:asciiTheme="minorHAnsi" w:hAnsiTheme="minorHAnsi" w:cstheme="minorHAnsi"/>
              </w:rPr>
              <w:t>5</w:t>
            </w:r>
          </w:p>
        </w:tc>
        <w:tc>
          <w:tcPr>
            <w:tcW w:w="2169" w:type="dxa"/>
            <w:shd w:val="clear" w:color="auto" w:fill="auto"/>
            <w:vAlign w:val="center"/>
          </w:tcPr>
          <w:p w14:paraId="7FEE0D2E" w14:textId="77777777" w:rsidR="00667C58" w:rsidRPr="00781608" w:rsidRDefault="00667C58" w:rsidP="00E85684">
            <w:pPr>
              <w:spacing w:line="276" w:lineRule="auto"/>
              <w:rPr>
                <w:rFonts w:asciiTheme="minorHAnsi" w:eastAsia="Times New Roman" w:hAnsiTheme="minorHAnsi" w:cstheme="minorHAnsi"/>
              </w:rPr>
            </w:pPr>
            <w:r w:rsidRPr="00781608">
              <w:rPr>
                <w:rFonts w:asciiTheme="minorHAnsi" w:hAnsiTheme="minorHAnsi" w:cstheme="minorHAnsi"/>
              </w:rPr>
              <w:t>Agriculture</w:t>
            </w:r>
          </w:p>
        </w:tc>
        <w:tc>
          <w:tcPr>
            <w:tcW w:w="1327" w:type="dxa"/>
            <w:shd w:val="clear" w:color="auto" w:fill="auto"/>
            <w:noWrap/>
          </w:tcPr>
          <w:p w14:paraId="6A7C8BA1"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10.25%</w:t>
            </w:r>
          </w:p>
        </w:tc>
        <w:tc>
          <w:tcPr>
            <w:tcW w:w="1327" w:type="dxa"/>
            <w:shd w:val="clear" w:color="auto" w:fill="auto"/>
            <w:noWrap/>
          </w:tcPr>
          <w:p w14:paraId="47058B4F"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10.34%</w:t>
            </w:r>
          </w:p>
        </w:tc>
        <w:tc>
          <w:tcPr>
            <w:tcW w:w="1327" w:type="dxa"/>
            <w:shd w:val="clear" w:color="auto" w:fill="auto"/>
            <w:noWrap/>
          </w:tcPr>
          <w:p w14:paraId="3ABE3E26"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10.48%</w:t>
            </w:r>
          </w:p>
        </w:tc>
      </w:tr>
      <w:tr w:rsidR="003C247B" w:rsidRPr="00781608" w14:paraId="682661BB" w14:textId="77777777" w:rsidTr="001E7990">
        <w:trPr>
          <w:trHeight w:val="300"/>
        </w:trPr>
        <w:tc>
          <w:tcPr>
            <w:tcW w:w="939" w:type="dxa"/>
          </w:tcPr>
          <w:p w14:paraId="07D96AE9" w14:textId="77777777" w:rsidR="00667C58" w:rsidRPr="00781608" w:rsidRDefault="00667C58" w:rsidP="00E85684">
            <w:pPr>
              <w:spacing w:line="276" w:lineRule="auto"/>
              <w:jc w:val="center"/>
              <w:rPr>
                <w:rFonts w:asciiTheme="minorHAnsi" w:hAnsiTheme="minorHAnsi" w:cstheme="minorHAnsi"/>
              </w:rPr>
            </w:pPr>
            <w:r w:rsidRPr="00781608">
              <w:rPr>
                <w:rFonts w:asciiTheme="minorHAnsi" w:hAnsiTheme="minorHAnsi" w:cstheme="minorHAnsi"/>
              </w:rPr>
              <w:t>6</w:t>
            </w:r>
          </w:p>
        </w:tc>
        <w:tc>
          <w:tcPr>
            <w:tcW w:w="2169" w:type="dxa"/>
            <w:shd w:val="clear" w:color="auto" w:fill="auto"/>
            <w:vAlign w:val="center"/>
          </w:tcPr>
          <w:p w14:paraId="3AE710D6" w14:textId="77777777" w:rsidR="00667C58" w:rsidRPr="00781608" w:rsidRDefault="00667C58" w:rsidP="00E85684">
            <w:pPr>
              <w:spacing w:line="276" w:lineRule="auto"/>
              <w:rPr>
                <w:rFonts w:asciiTheme="minorHAnsi" w:eastAsia="Times New Roman" w:hAnsiTheme="minorHAnsi" w:cstheme="minorHAnsi"/>
              </w:rPr>
            </w:pPr>
            <w:r w:rsidRPr="00781608">
              <w:rPr>
                <w:rFonts w:asciiTheme="minorHAnsi" w:hAnsiTheme="minorHAnsi" w:cstheme="minorHAnsi"/>
              </w:rPr>
              <w:t>Industrial HT</w:t>
            </w:r>
          </w:p>
        </w:tc>
        <w:tc>
          <w:tcPr>
            <w:tcW w:w="1327" w:type="dxa"/>
            <w:shd w:val="clear" w:color="auto" w:fill="auto"/>
            <w:noWrap/>
          </w:tcPr>
          <w:p w14:paraId="4D7DB151"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0.12%</w:t>
            </w:r>
          </w:p>
        </w:tc>
        <w:tc>
          <w:tcPr>
            <w:tcW w:w="1327" w:type="dxa"/>
            <w:shd w:val="clear" w:color="auto" w:fill="auto"/>
            <w:noWrap/>
          </w:tcPr>
          <w:p w14:paraId="6A084684"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0.12%</w:t>
            </w:r>
          </w:p>
        </w:tc>
        <w:tc>
          <w:tcPr>
            <w:tcW w:w="1327" w:type="dxa"/>
            <w:shd w:val="clear" w:color="auto" w:fill="auto"/>
            <w:noWrap/>
          </w:tcPr>
          <w:p w14:paraId="5A862AD7"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0.12%</w:t>
            </w:r>
          </w:p>
        </w:tc>
      </w:tr>
      <w:tr w:rsidR="00667C58" w:rsidRPr="00781608" w14:paraId="6769F772" w14:textId="77777777" w:rsidTr="001E7990">
        <w:trPr>
          <w:trHeight w:val="300"/>
        </w:trPr>
        <w:tc>
          <w:tcPr>
            <w:tcW w:w="939" w:type="dxa"/>
          </w:tcPr>
          <w:p w14:paraId="238024CB" w14:textId="77777777" w:rsidR="00667C58" w:rsidRPr="00781608" w:rsidRDefault="00667C58" w:rsidP="00E85684">
            <w:pPr>
              <w:spacing w:line="276" w:lineRule="auto"/>
              <w:jc w:val="center"/>
              <w:rPr>
                <w:rFonts w:asciiTheme="minorHAnsi" w:hAnsiTheme="minorHAnsi" w:cstheme="minorHAnsi"/>
              </w:rPr>
            </w:pPr>
            <w:r w:rsidRPr="00781608">
              <w:rPr>
                <w:rFonts w:asciiTheme="minorHAnsi" w:hAnsiTheme="minorHAnsi" w:cstheme="minorHAnsi"/>
              </w:rPr>
              <w:t>7</w:t>
            </w:r>
          </w:p>
        </w:tc>
        <w:tc>
          <w:tcPr>
            <w:tcW w:w="2169" w:type="dxa"/>
            <w:shd w:val="clear" w:color="auto" w:fill="auto"/>
            <w:vAlign w:val="center"/>
          </w:tcPr>
          <w:p w14:paraId="06103BC4" w14:textId="77777777" w:rsidR="00667C58" w:rsidRPr="00781608" w:rsidRDefault="00667C58" w:rsidP="00E85684">
            <w:pPr>
              <w:spacing w:line="276" w:lineRule="auto"/>
              <w:rPr>
                <w:rFonts w:asciiTheme="minorHAnsi" w:eastAsia="Times New Roman" w:hAnsiTheme="minorHAnsi" w:cstheme="minorHAnsi"/>
              </w:rPr>
            </w:pPr>
            <w:r w:rsidRPr="00781608">
              <w:rPr>
                <w:rFonts w:asciiTheme="minorHAnsi" w:hAnsiTheme="minorHAnsi" w:cstheme="minorHAnsi"/>
              </w:rPr>
              <w:t>Railway Traction</w:t>
            </w:r>
          </w:p>
        </w:tc>
        <w:tc>
          <w:tcPr>
            <w:tcW w:w="1327" w:type="dxa"/>
            <w:shd w:val="clear" w:color="auto" w:fill="auto"/>
            <w:noWrap/>
          </w:tcPr>
          <w:p w14:paraId="37D194A3"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0.00%</w:t>
            </w:r>
          </w:p>
        </w:tc>
        <w:tc>
          <w:tcPr>
            <w:tcW w:w="1327" w:type="dxa"/>
            <w:shd w:val="clear" w:color="auto" w:fill="auto"/>
            <w:noWrap/>
          </w:tcPr>
          <w:p w14:paraId="7E400129"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0.00%</w:t>
            </w:r>
          </w:p>
        </w:tc>
        <w:tc>
          <w:tcPr>
            <w:tcW w:w="1327" w:type="dxa"/>
            <w:shd w:val="clear" w:color="auto" w:fill="auto"/>
            <w:noWrap/>
          </w:tcPr>
          <w:p w14:paraId="78797AD3"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0.00%</w:t>
            </w:r>
          </w:p>
        </w:tc>
      </w:tr>
    </w:tbl>
    <w:p w14:paraId="6746C7EC" w14:textId="77777777" w:rsidR="00667C58" w:rsidRPr="00781608" w:rsidRDefault="00667C58" w:rsidP="00E85684">
      <w:pPr>
        <w:pStyle w:val="ydp360db5b4yiv6248630976msolistparagraph"/>
        <w:spacing w:beforeAutospacing="0" w:after="200" w:afterAutospacing="0" w:line="276" w:lineRule="auto"/>
        <w:ind w:left="1440"/>
        <w:jc w:val="both"/>
        <w:rPr>
          <w:rFonts w:asciiTheme="minorHAnsi" w:hAnsiTheme="minorHAnsi" w:cstheme="minorHAnsi"/>
          <w:sz w:val="24"/>
          <w:szCs w:val="24"/>
        </w:rPr>
      </w:pPr>
    </w:p>
    <w:p w14:paraId="21709E13" w14:textId="77777777" w:rsidR="00A56DF7" w:rsidRPr="00781608" w:rsidRDefault="00A56DF7" w:rsidP="00E85684">
      <w:pPr>
        <w:pStyle w:val="ydp360db5b4yiv6248630976msolistparagraph"/>
        <w:numPr>
          <w:ilvl w:val="1"/>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t xml:space="preserve">Category-wise consumption mix in percentage in FY 2018-19, FY 2019-20, and FY </w:t>
      </w:r>
      <w:proofErr w:type="gramStart"/>
      <w:r w:rsidRPr="00781608">
        <w:rPr>
          <w:rFonts w:asciiTheme="minorHAnsi" w:eastAsia="Times New Roman" w:hAnsiTheme="minorHAnsi" w:cstheme="minorHAnsi"/>
          <w:sz w:val="24"/>
          <w:szCs w:val="24"/>
        </w:rPr>
        <w:t>2020-21;</w:t>
      </w:r>
      <w:proofErr w:type="gramEnd"/>
    </w:p>
    <w:p w14:paraId="786D039C" w14:textId="77777777" w:rsidR="00473730" w:rsidRPr="00781608" w:rsidRDefault="00836677" w:rsidP="00E85684">
      <w:pPr>
        <w:pStyle w:val="ydp360db5b4yiv6248630976msolistparagraph"/>
        <w:spacing w:beforeAutospacing="0" w:after="200" w:afterAutospacing="0" w:line="276" w:lineRule="auto"/>
        <w:ind w:left="1440"/>
        <w:jc w:val="both"/>
        <w:rPr>
          <w:rFonts w:asciiTheme="minorHAnsi" w:eastAsia="Times New Roman" w:hAnsiTheme="minorHAnsi" w:cstheme="minorHAnsi"/>
          <w:b/>
          <w:bCs/>
          <w:sz w:val="24"/>
          <w:szCs w:val="24"/>
        </w:rPr>
      </w:pPr>
      <w:r w:rsidRPr="00781608">
        <w:rPr>
          <w:rFonts w:asciiTheme="minorHAnsi" w:eastAsia="Times New Roman" w:hAnsiTheme="minorHAnsi" w:cstheme="minorHAnsi"/>
          <w:b/>
          <w:bCs/>
          <w:sz w:val="24"/>
          <w:szCs w:val="24"/>
        </w:rPr>
        <w:t>Compliance</w:t>
      </w:r>
      <w:r w:rsidR="00473730" w:rsidRPr="00781608">
        <w:rPr>
          <w:rFonts w:asciiTheme="minorHAnsi" w:eastAsia="Times New Roman" w:hAnsiTheme="minorHAnsi" w:cstheme="minorHAnsi"/>
          <w:b/>
          <w:bCs/>
          <w:sz w:val="24"/>
          <w:szCs w:val="24"/>
        </w:rPr>
        <w:t>:</w:t>
      </w:r>
    </w:p>
    <w:tbl>
      <w:tblPr>
        <w:tblW w:w="7089"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2169"/>
        <w:gridCol w:w="1327"/>
        <w:gridCol w:w="1327"/>
        <w:gridCol w:w="1327"/>
      </w:tblGrid>
      <w:tr w:rsidR="003C247B" w:rsidRPr="00781608" w14:paraId="406F273E" w14:textId="77777777" w:rsidTr="00935950">
        <w:trPr>
          <w:trHeight w:val="300"/>
        </w:trPr>
        <w:tc>
          <w:tcPr>
            <w:tcW w:w="939" w:type="dxa"/>
            <w:shd w:val="clear" w:color="auto" w:fill="DEEAF6" w:themeFill="accent5" w:themeFillTint="33"/>
          </w:tcPr>
          <w:p w14:paraId="0930672B" w14:textId="77777777" w:rsidR="00935950" w:rsidRPr="00781608" w:rsidRDefault="00935950" w:rsidP="00E85684">
            <w:pPr>
              <w:spacing w:line="276" w:lineRule="auto"/>
              <w:rPr>
                <w:rFonts w:asciiTheme="minorHAnsi" w:hAnsiTheme="minorHAnsi" w:cstheme="minorHAnsi"/>
                <w:b/>
                <w:bCs/>
              </w:rPr>
            </w:pPr>
            <w:r w:rsidRPr="00781608">
              <w:rPr>
                <w:rFonts w:asciiTheme="minorHAnsi" w:hAnsiTheme="minorHAnsi" w:cstheme="minorHAnsi"/>
                <w:b/>
                <w:bCs/>
              </w:rPr>
              <w:t>Sr. No.</w:t>
            </w:r>
          </w:p>
        </w:tc>
        <w:tc>
          <w:tcPr>
            <w:tcW w:w="2169" w:type="dxa"/>
            <w:shd w:val="clear" w:color="auto" w:fill="DEEAF6" w:themeFill="accent5" w:themeFillTint="33"/>
            <w:noWrap/>
            <w:hideMark/>
          </w:tcPr>
          <w:p w14:paraId="20F29AE4" w14:textId="77777777" w:rsidR="00935950" w:rsidRPr="00781608" w:rsidRDefault="00935950" w:rsidP="00E85684">
            <w:pPr>
              <w:spacing w:line="276" w:lineRule="auto"/>
              <w:rPr>
                <w:rFonts w:asciiTheme="minorHAnsi" w:eastAsia="Times New Roman" w:hAnsiTheme="minorHAnsi" w:cstheme="minorHAnsi"/>
                <w:b/>
                <w:bCs/>
              </w:rPr>
            </w:pPr>
            <w:r w:rsidRPr="00781608">
              <w:rPr>
                <w:rFonts w:asciiTheme="minorHAnsi" w:hAnsiTheme="minorHAnsi" w:cstheme="minorHAnsi"/>
                <w:b/>
                <w:bCs/>
              </w:rPr>
              <w:t> Consumer Category</w:t>
            </w:r>
          </w:p>
        </w:tc>
        <w:tc>
          <w:tcPr>
            <w:tcW w:w="1327" w:type="dxa"/>
            <w:shd w:val="clear" w:color="auto" w:fill="DEEAF6" w:themeFill="accent5" w:themeFillTint="33"/>
            <w:hideMark/>
          </w:tcPr>
          <w:p w14:paraId="162CCE22" w14:textId="77777777" w:rsidR="00935950" w:rsidRPr="00781608" w:rsidRDefault="00935950" w:rsidP="00E85684">
            <w:pPr>
              <w:spacing w:line="276" w:lineRule="auto"/>
              <w:rPr>
                <w:rFonts w:asciiTheme="minorHAnsi" w:eastAsia="Times New Roman" w:hAnsiTheme="minorHAnsi" w:cstheme="minorHAnsi"/>
                <w:b/>
                <w:bCs/>
              </w:rPr>
            </w:pPr>
            <w:r w:rsidRPr="00781608">
              <w:rPr>
                <w:rFonts w:asciiTheme="minorHAnsi" w:eastAsia="Times New Roman" w:hAnsiTheme="minorHAnsi" w:cstheme="minorHAnsi"/>
                <w:b/>
                <w:bCs/>
              </w:rPr>
              <w:t>FY 2018-19</w:t>
            </w:r>
          </w:p>
        </w:tc>
        <w:tc>
          <w:tcPr>
            <w:tcW w:w="1327" w:type="dxa"/>
            <w:shd w:val="clear" w:color="auto" w:fill="DEEAF6" w:themeFill="accent5" w:themeFillTint="33"/>
            <w:hideMark/>
          </w:tcPr>
          <w:p w14:paraId="4FECB5C2" w14:textId="77777777" w:rsidR="00935950" w:rsidRPr="00781608" w:rsidRDefault="00935950" w:rsidP="00E85684">
            <w:pPr>
              <w:spacing w:line="276" w:lineRule="auto"/>
              <w:rPr>
                <w:rFonts w:asciiTheme="minorHAnsi" w:eastAsia="Times New Roman" w:hAnsiTheme="minorHAnsi" w:cstheme="minorHAnsi"/>
                <w:b/>
                <w:bCs/>
              </w:rPr>
            </w:pPr>
            <w:r w:rsidRPr="00781608">
              <w:rPr>
                <w:rFonts w:asciiTheme="minorHAnsi" w:eastAsia="Times New Roman" w:hAnsiTheme="minorHAnsi" w:cstheme="minorHAnsi"/>
                <w:b/>
                <w:bCs/>
              </w:rPr>
              <w:t>FY 2019-20</w:t>
            </w:r>
          </w:p>
        </w:tc>
        <w:tc>
          <w:tcPr>
            <w:tcW w:w="1327" w:type="dxa"/>
            <w:shd w:val="clear" w:color="auto" w:fill="DEEAF6" w:themeFill="accent5" w:themeFillTint="33"/>
            <w:hideMark/>
          </w:tcPr>
          <w:p w14:paraId="4705B149" w14:textId="77777777" w:rsidR="00935950" w:rsidRPr="00781608" w:rsidRDefault="00935950" w:rsidP="00E85684">
            <w:pPr>
              <w:spacing w:line="276" w:lineRule="auto"/>
              <w:rPr>
                <w:rFonts w:asciiTheme="minorHAnsi" w:eastAsia="Times New Roman" w:hAnsiTheme="minorHAnsi" w:cstheme="minorHAnsi"/>
                <w:b/>
                <w:bCs/>
              </w:rPr>
            </w:pPr>
            <w:r w:rsidRPr="00781608">
              <w:rPr>
                <w:rFonts w:asciiTheme="minorHAnsi" w:eastAsia="Times New Roman" w:hAnsiTheme="minorHAnsi" w:cstheme="minorHAnsi"/>
                <w:b/>
                <w:bCs/>
              </w:rPr>
              <w:t>FY 2020-21</w:t>
            </w:r>
          </w:p>
        </w:tc>
      </w:tr>
      <w:tr w:rsidR="003C247B" w:rsidRPr="00781608" w14:paraId="4659974D" w14:textId="77777777" w:rsidTr="00935950">
        <w:trPr>
          <w:trHeight w:val="300"/>
        </w:trPr>
        <w:tc>
          <w:tcPr>
            <w:tcW w:w="939" w:type="dxa"/>
          </w:tcPr>
          <w:p w14:paraId="03415AAE" w14:textId="77777777" w:rsidR="00667C58" w:rsidRPr="00781608" w:rsidRDefault="00667C58" w:rsidP="00E85684">
            <w:pPr>
              <w:spacing w:line="276" w:lineRule="auto"/>
              <w:jc w:val="center"/>
              <w:rPr>
                <w:rFonts w:asciiTheme="minorHAnsi" w:hAnsiTheme="minorHAnsi" w:cstheme="minorHAnsi"/>
              </w:rPr>
            </w:pPr>
            <w:r w:rsidRPr="00781608">
              <w:rPr>
                <w:rFonts w:asciiTheme="minorHAnsi" w:hAnsiTheme="minorHAnsi" w:cstheme="minorHAnsi"/>
              </w:rPr>
              <w:t>1</w:t>
            </w:r>
          </w:p>
        </w:tc>
        <w:tc>
          <w:tcPr>
            <w:tcW w:w="2169" w:type="dxa"/>
            <w:shd w:val="clear" w:color="auto" w:fill="auto"/>
            <w:vAlign w:val="center"/>
            <w:hideMark/>
          </w:tcPr>
          <w:p w14:paraId="7D4080ED" w14:textId="77777777" w:rsidR="00667C58" w:rsidRPr="00781608" w:rsidRDefault="00667C58" w:rsidP="00E85684">
            <w:pPr>
              <w:spacing w:line="276" w:lineRule="auto"/>
              <w:rPr>
                <w:rFonts w:asciiTheme="minorHAnsi" w:eastAsia="Times New Roman" w:hAnsiTheme="minorHAnsi" w:cstheme="minorHAnsi"/>
              </w:rPr>
            </w:pPr>
            <w:r w:rsidRPr="00781608">
              <w:rPr>
                <w:rFonts w:asciiTheme="minorHAnsi" w:hAnsiTheme="minorHAnsi" w:cstheme="minorHAnsi"/>
              </w:rPr>
              <w:t>RGP</w:t>
            </w:r>
          </w:p>
        </w:tc>
        <w:tc>
          <w:tcPr>
            <w:tcW w:w="1327" w:type="dxa"/>
            <w:shd w:val="clear" w:color="auto" w:fill="auto"/>
            <w:noWrap/>
          </w:tcPr>
          <w:p w14:paraId="2E9EFB63"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10.07%</w:t>
            </w:r>
          </w:p>
        </w:tc>
        <w:tc>
          <w:tcPr>
            <w:tcW w:w="1327" w:type="dxa"/>
            <w:shd w:val="clear" w:color="auto" w:fill="auto"/>
            <w:noWrap/>
          </w:tcPr>
          <w:p w14:paraId="241ED61D"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11.06%</w:t>
            </w:r>
          </w:p>
        </w:tc>
        <w:tc>
          <w:tcPr>
            <w:tcW w:w="1327" w:type="dxa"/>
            <w:shd w:val="clear" w:color="auto" w:fill="auto"/>
            <w:noWrap/>
          </w:tcPr>
          <w:p w14:paraId="4E08E582"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11.65%</w:t>
            </w:r>
          </w:p>
        </w:tc>
      </w:tr>
      <w:tr w:rsidR="003C247B" w:rsidRPr="00781608" w14:paraId="1244E3B6" w14:textId="77777777" w:rsidTr="00935950">
        <w:trPr>
          <w:trHeight w:val="300"/>
        </w:trPr>
        <w:tc>
          <w:tcPr>
            <w:tcW w:w="939" w:type="dxa"/>
          </w:tcPr>
          <w:p w14:paraId="760E2E1A" w14:textId="77777777" w:rsidR="00667C58" w:rsidRPr="00781608" w:rsidRDefault="00667C58" w:rsidP="00E85684">
            <w:pPr>
              <w:spacing w:line="276" w:lineRule="auto"/>
              <w:jc w:val="center"/>
              <w:rPr>
                <w:rFonts w:asciiTheme="minorHAnsi" w:hAnsiTheme="minorHAnsi" w:cstheme="minorHAnsi"/>
              </w:rPr>
            </w:pPr>
            <w:r w:rsidRPr="00781608">
              <w:rPr>
                <w:rFonts w:asciiTheme="minorHAnsi" w:hAnsiTheme="minorHAnsi" w:cstheme="minorHAnsi"/>
              </w:rPr>
              <w:t>2</w:t>
            </w:r>
          </w:p>
        </w:tc>
        <w:tc>
          <w:tcPr>
            <w:tcW w:w="2169" w:type="dxa"/>
            <w:shd w:val="clear" w:color="auto" w:fill="auto"/>
            <w:vAlign w:val="center"/>
          </w:tcPr>
          <w:p w14:paraId="190B8014" w14:textId="77777777" w:rsidR="00667C58" w:rsidRPr="00781608" w:rsidRDefault="00667C58" w:rsidP="00E85684">
            <w:pPr>
              <w:spacing w:line="276" w:lineRule="auto"/>
              <w:rPr>
                <w:rFonts w:asciiTheme="minorHAnsi" w:eastAsia="Times New Roman" w:hAnsiTheme="minorHAnsi" w:cstheme="minorHAnsi"/>
              </w:rPr>
            </w:pPr>
            <w:r w:rsidRPr="00781608">
              <w:rPr>
                <w:rFonts w:asciiTheme="minorHAnsi" w:hAnsiTheme="minorHAnsi" w:cstheme="minorHAnsi"/>
              </w:rPr>
              <w:t>GLP</w:t>
            </w:r>
          </w:p>
        </w:tc>
        <w:tc>
          <w:tcPr>
            <w:tcW w:w="1327" w:type="dxa"/>
            <w:shd w:val="clear" w:color="auto" w:fill="auto"/>
            <w:noWrap/>
          </w:tcPr>
          <w:p w14:paraId="693D30A4"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0.47%</w:t>
            </w:r>
          </w:p>
        </w:tc>
        <w:tc>
          <w:tcPr>
            <w:tcW w:w="1327" w:type="dxa"/>
            <w:shd w:val="clear" w:color="auto" w:fill="auto"/>
            <w:noWrap/>
          </w:tcPr>
          <w:p w14:paraId="6B7FF850"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0.51%</w:t>
            </w:r>
          </w:p>
        </w:tc>
        <w:tc>
          <w:tcPr>
            <w:tcW w:w="1327" w:type="dxa"/>
            <w:shd w:val="clear" w:color="auto" w:fill="auto"/>
            <w:noWrap/>
          </w:tcPr>
          <w:p w14:paraId="2766151E"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0.37%</w:t>
            </w:r>
          </w:p>
        </w:tc>
      </w:tr>
      <w:tr w:rsidR="003C247B" w:rsidRPr="00781608" w14:paraId="726AE854" w14:textId="77777777" w:rsidTr="00935950">
        <w:trPr>
          <w:trHeight w:val="300"/>
        </w:trPr>
        <w:tc>
          <w:tcPr>
            <w:tcW w:w="939" w:type="dxa"/>
          </w:tcPr>
          <w:p w14:paraId="77E07F5A" w14:textId="77777777" w:rsidR="00667C58" w:rsidRPr="00781608" w:rsidRDefault="00667C58" w:rsidP="00E85684">
            <w:pPr>
              <w:spacing w:line="276" w:lineRule="auto"/>
              <w:jc w:val="center"/>
              <w:rPr>
                <w:rFonts w:asciiTheme="minorHAnsi" w:hAnsiTheme="minorHAnsi" w:cstheme="minorHAnsi"/>
              </w:rPr>
            </w:pPr>
            <w:r w:rsidRPr="00781608">
              <w:rPr>
                <w:rFonts w:asciiTheme="minorHAnsi" w:hAnsiTheme="minorHAnsi" w:cstheme="minorHAnsi"/>
              </w:rPr>
              <w:t>3</w:t>
            </w:r>
          </w:p>
        </w:tc>
        <w:tc>
          <w:tcPr>
            <w:tcW w:w="2169" w:type="dxa"/>
            <w:shd w:val="clear" w:color="auto" w:fill="auto"/>
            <w:vAlign w:val="center"/>
          </w:tcPr>
          <w:p w14:paraId="7A828F69" w14:textId="77777777" w:rsidR="00667C58" w:rsidRPr="00781608" w:rsidRDefault="00667C58" w:rsidP="00E85684">
            <w:pPr>
              <w:spacing w:line="276" w:lineRule="auto"/>
              <w:rPr>
                <w:rFonts w:asciiTheme="minorHAnsi" w:eastAsia="Times New Roman" w:hAnsiTheme="minorHAnsi" w:cstheme="minorHAnsi"/>
              </w:rPr>
            </w:pPr>
            <w:r w:rsidRPr="00781608">
              <w:rPr>
                <w:rFonts w:asciiTheme="minorHAnsi" w:hAnsiTheme="minorHAnsi" w:cstheme="minorHAnsi"/>
              </w:rPr>
              <w:t>Non-RGP &amp; LTMD</w:t>
            </w:r>
          </w:p>
        </w:tc>
        <w:tc>
          <w:tcPr>
            <w:tcW w:w="1327" w:type="dxa"/>
            <w:shd w:val="clear" w:color="auto" w:fill="auto"/>
            <w:noWrap/>
          </w:tcPr>
          <w:p w14:paraId="7DC4A8C0"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8.64%</w:t>
            </w:r>
          </w:p>
        </w:tc>
        <w:tc>
          <w:tcPr>
            <w:tcW w:w="1327" w:type="dxa"/>
            <w:shd w:val="clear" w:color="auto" w:fill="auto"/>
            <w:noWrap/>
          </w:tcPr>
          <w:p w14:paraId="7C8AC675"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9.21%</w:t>
            </w:r>
          </w:p>
        </w:tc>
        <w:tc>
          <w:tcPr>
            <w:tcW w:w="1327" w:type="dxa"/>
            <w:shd w:val="clear" w:color="auto" w:fill="auto"/>
            <w:noWrap/>
          </w:tcPr>
          <w:p w14:paraId="72EC6851"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8.36%</w:t>
            </w:r>
          </w:p>
        </w:tc>
      </w:tr>
      <w:tr w:rsidR="003C247B" w:rsidRPr="00781608" w14:paraId="15D1EE73" w14:textId="77777777" w:rsidTr="00935950">
        <w:trPr>
          <w:trHeight w:val="300"/>
        </w:trPr>
        <w:tc>
          <w:tcPr>
            <w:tcW w:w="939" w:type="dxa"/>
          </w:tcPr>
          <w:p w14:paraId="0A5FD6EE" w14:textId="77777777" w:rsidR="00667C58" w:rsidRPr="00781608" w:rsidRDefault="00667C58" w:rsidP="00E85684">
            <w:pPr>
              <w:spacing w:line="276" w:lineRule="auto"/>
              <w:jc w:val="center"/>
              <w:rPr>
                <w:rFonts w:asciiTheme="minorHAnsi" w:hAnsiTheme="minorHAnsi" w:cstheme="minorHAnsi"/>
              </w:rPr>
            </w:pPr>
            <w:r w:rsidRPr="00781608">
              <w:rPr>
                <w:rFonts w:asciiTheme="minorHAnsi" w:hAnsiTheme="minorHAnsi" w:cstheme="minorHAnsi"/>
              </w:rPr>
              <w:t>4</w:t>
            </w:r>
          </w:p>
        </w:tc>
        <w:tc>
          <w:tcPr>
            <w:tcW w:w="2169" w:type="dxa"/>
            <w:shd w:val="clear" w:color="auto" w:fill="auto"/>
            <w:vAlign w:val="center"/>
          </w:tcPr>
          <w:p w14:paraId="19C5180B" w14:textId="77777777" w:rsidR="00667C58" w:rsidRPr="00781608" w:rsidRDefault="00667C58" w:rsidP="00E85684">
            <w:pPr>
              <w:spacing w:line="276" w:lineRule="auto"/>
              <w:rPr>
                <w:rFonts w:asciiTheme="minorHAnsi" w:eastAsia="Times New Roman" w:hAnsiTheme="minorHAnsi" w:cstheme="minorHAnsi"/>
              </w:rPr>
            </w:pPr>
            <w:r w:rsidRPr="00781608">
              <w:rPr>
                <w:rFonts w:asciiTheme="minorHAnsi" w:hAnsiTheme="minorHAnsi" w:cstheme="minorHAnsi"/>
              </w:rPr>
              <w:t>Public Water Works</w:t>
            </w:r>
          </w:p>
        </w:tc>
        <w:tc>
          <w:tcPr>
            <w:tcW w:w="1327" w:type="dxa"/>
            <w:shd w:val="clear" w:color="auto" w:fill="auto"/>
            <w:noWrap/>
          </w:tcPr>
          <w:p w14:paraId="39381E96"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3.33%</w:t>
            </w:r>
          </w:p>
        </w:tc>
        <w:tc>
          <w:tcPr>
            <w:tcW w:w="1327" w:type="dxa"/>
            <w:shd w:val="clear" w:color="auto" w:fill="auto"/>
            <w:noWrap/>
          </w:tcPr>
          <w:p w14:paraId="38FA29FF"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3.66%</w:t>
            </w:r>
          </w:p>
        </w:tc>
        <w:tc>
          <w:tcPr>
            <w:tcW w:w="1327" w:type="dxa"/>
            <w:shd w:val="clear" w:color="auto" w:fill="auto"/>
            <w:noWrap/>
          </w:tcPr>
          <w:p w14:paraId="7029FCBE"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3.78%</w:t>
            </w:r>
          </w:p>
        </w:tc>
      </w:tr>
      <w:tr w:rsidR="003C247B" w:rsidRPr="00781608" w14:paraId="0078BEDE" w14:textId="77777777" w:rsidTr="00935950">
        <w:trPr>
          <w:trHeight w:val="300"/>
        </w:trPr>
        <w:tc>
          <w:tcPr>
            <w:tcW w:w="939" w:type="dxa"/>
          </w:tcPr>
          <w:p w14:paraId="31B57B22" w14:textId="77777777" w:rsidR="00667C58" w:rsidRPr="00781608" w:rsidRDefault="00667C58" w:rsidP="00E85684">
            <w:pPr>
              <w:spacing w:line="276" w:lineRule="auto"/>
              <w:jc w:val="center"/>
              <w:rPr>
                <w:rFonts w:asciiTheme="minorHAnsi" w:hAnsiTheme="minorHAnsi" w:cstheme="minorHAnsi"/>
              </w:rPr>
            </w:pPr>
            <w:r w:rsidRPr="00781608">
              <w:rPr>
                <w:rFonts w:asciiTheme="minorHAnsi" w:hAnsiTheme="minorHAnsi" w:cstheme="minorHAnsi"/>
              </w:rPr>
              <w:t>5</w:t>
            </w:r>
          </w:p>
        </w:tc>
        <w:tc>
          <w:tcPr>
            <w:tcW w:w="2169" w:type="dxa"/>
            <w:shd w:val="clear" w:color="auto" w:fill="auto"/>
            <w:vAlign w:val="center"/>
          </w:tcPr>
          <w:p w14:paraId="1A419A86" w14:textId="77777777" w:rsidR="00667C58" w:rsidRPr="00781608" w:rsidRDefault="00667C58" w:rsidP="00E85684">
            <w:pPr>
              <w:spacing w:line="276" w:lineRule="auto"/>
              <w:rPr>
                <w:rFonts w:asciiTheme="minorHAnsi" w:eastAsia="Times New Roman" w:hAnsiTheme="minorHAnsi" w:cstheme="minorHAnsi"/>
              </w:rPr>
            </w:pPr>
            <w:r w:rsidRPr="00781608">
              <w:rPr>
                <w:rFonts w:asciiTheme="minorHAnsi" w:hAnsiTheme="minorHAnsi" w:cstheme="minorHAnsi"/>
              </w:rPr>
              <w:t>Agriculture</w:t>
            </w:r>
          </w:p>
        </w:tc>
        <w:tc>
          <w:tcPr>
            <w:tcW w:w="1327" w:type="dxa"/>
            <w:shd w:val="clear" w:color="auto" w:fill="auto"/>
            <w:noWrap/>
          </w:tcPr>
          <w:p w14:paraId="61D1D1FB"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43.47%</w:t>
            </w:r>
          </w:p>
        </w:tc>
        <w:tc>
          <w:tcPr>
            <w:tcW w:w="1327" w:type="dxa"/>
            <w:shd w:val="clear" w:color="auto" w:fill="auto"/>
            <w:noWrap/>
          </w:tcPr>
          <w:p w14:paraId="49717914"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42.09%</w:t>
            </w:r>
          </w:p>
        </w:tc>
        <w:tc>
          <w:tcPr>
            <w:tcW w:w="1327" w:type="dxa"/>
            <w:shd w:val="clear" w:color="auto" w:fill="auto"/>
            <w:noWrap/>
          </w:tcPr>
          <w:p w14:paraId="213EC783"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43.84%</w:t>
            </w:r>
          </w:p>
        </w:tc>
      </w:tr>
      <w:tr w:rsidR="003C247B" w:rsidRPr="00781608" w14:paraId="4310108D" w14:textId="77777777" w:rsidTr="00935950">
        <w:trPr>
          <w:trHeight w:val="300"/>
        </w:trPr>
        <w:tc>
          <w:tcPr>
            <w:tcW w:w="939" w:type="dxa"/>
          </w:tcPr>
          <w:p w14:paraId="333EE8B2" w14:textId="77777777" w:rsidR="00667C58" w:rsidRPr="00781608" w:rsidRDefault="00667C58" w:rsidP="00E85684">
            <w:pPr>
              <w:spacing w:line="276" w:lineRule="auto"/>
              <w:jc w:val="center"/>
              <w:rPr>
                <w:rFonts w:asciiTheme="minorHAnsi" w:hAnsiTheme="minorHAnsi" w:cstheme="minorHAnsi"/>
              </w:rPr>
            </w:pPr>
            <w:r w:rsidRPr="00781608">
              <w:rPr>
                <w:rFonts w:asciiTheme="minorHAnsi" w:hAnsiTheme="minorHAnsi" w:cstheme="minorHAnsi"/>
              </w:rPr>
              <w:t>6</w:t>
            </w:r>
          </w:p>
        </w:tc>
        <w:tc>
          <w:tcPr>
            <w:tcW w:w="2169" w:type="dxa"/>
            <w:shd w:val="clear" w:color="auto" w:fill="auto"/>
            <w:vAlign w:val="center"/>
          </w:tcPr>
          <w:p w14:paraId="0F71C84A" w14:textId="77777777" w:rsidR="00667C58" w:rsidRPr="00781608" w:rsidRDefault="00667C58" w:rsidP="00E85684">
            <w:pPr>
              <w:spacing w:line="276" w:lineRule="auto"/>
              <w:rPr>
                <w:rFonts w:asciiTheme="minorHAnsi" w:eastAsia="Times New Roman" w:hAnsiTheme="minorHAnsi" w:cstheme="minorHAnsi"/>
              </w:rPr>
            </w:pPr>
            <w:r w:rsidRPr="00781608">
              <w:rPr>
                <w:rFonts w:asciiTheme="minorHAnsi" w:hAnsiTheme="minorHAnsi" w:cstheme="minorHAnsi"/>
              </w:rPr>
              <w:t>Industrial HT</w:t>
            </w:r>
          </w:p>
        </w:tc>
        <w:tc>
          <w:tcPr>
            <w:tcW w:w="1327" w:type="dxa"/>
            <w:shd w:val="clear" w:color="auto" w:fill="auto"/>
            <w:noWrap/>
          </w:tcPr>
          <w:p w14:paraId="1B1D72C6"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34.02%</w:t>
            </w:r>
          </w:p>
        </w:tc>
        <w:tc>
          <w:tcPr>
            <w:tcW w:w="1327" w:type="dxa"/>
            <w:shd w:val="clear" w:color="auto" w:fill="auto"/>
            <w:noWrap/>
          </w:tcPr>
          <w:p w14:paraId="53C8D462"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33.48%</w:t>
            </w:r>
          </w:p>
        </w:tc>
        <w:tc>
          <w:tcPr>
            <w:tcW w:w="1327" w:type="dxa"/>
            <w:shd w:val="clear" w:color="auto" w:fill="auto"/>
            <w:noWrap/>
          </w:tcPr>
          <w:p w14:paraId="5A888981"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31.99%</w:t>
            </w:r>
          </w:p>
        </w:tc>
      </w:tr>
      <w:tr w:rsidR="00667C58" w:rsidRPr="00781608" w14:paraId="43637A2E" w14:textId="77777777" w:rsidTr="00935950">
        <w:trPr>
          <w:trHeight w:val="300"/>
        </w:trPr>
        <w:tc>
          <w:tcPr>
            <w:tcW w:w="939" w:type="dxa"/>
          </w:tcPr>
          <w:p w14:paraId="5A57C045" w14:textId="77777777" w:rsidR="00667C58" w:rsidRPr="00781608" w:rsidRDefault="00667C58" w:rsidP="00E85684">
            <w:pPr>
              <w:spacing w:line="276" w:lineRule="auto"/>
              <w:jc w:val="center"/>
              <w:rPr>
                <w:rFonts w:asciiTheme="minorHAnsi" w:hAnsiTheme="minorHAnsi" w:cstheme="minorHAnsi"/>
              </w:rPr>
            </w:pPr>
            <w:r w:rsidRPr="00781608">
              <w:rPr>
                <w:rFonts w:asciiTheme="minorHAnsi" w:hAnsiTheme="minorHAnsi" w:cstheme="minorHAnsi"/>
              </w:rPr>
              <w:t>7</w:t>
            </w:r>
          </w:p>
        </w:tc>
        <w:tc>
          <w:tcPr>
            <w:tcW w:w="2169" w:type="dxa"/>
            <w:shd w:val="clear" w:color="auto" w:fill="auto"/>
            <w:vAlign w:val="center"/>
          </w:tcPr>
          <w:p w14:paraId="7378091B" w14:textId="77777777" w:rsidR="00667C58" w:rsidRPr="00781608" w:rsidRDefault="00667C58" w:rsidP="00E85684">
            <w:pPr>
              <w:spacing w:line="276" w:lineRule="auto"/>
              <w:rPr>
                <w:rFonts w:asciiTheme="minorHAnsi" w:eastAsia="Times New Roman" w:hAnsiTheme="minorHAnsi" w:cstheme="minorHAnsi"/>
              </w:rPr>
            </w:pPr>
            <w:r w:rsidRPr="00781608">
              <w:rPr>
                <w:rFonts w:asciiTheme="minorHAnsi" w:hAnsiTheme="minorHAnsi" w:cstheme="minorHAnsi"/>
              </w:rPr>
              <w:t>Railway Traction</w:t>
            </w:r>
          </w:p>
        </w:tc>
        <w:tc>
          <w:tcPr>
            <w:tcW w:w="1327" w:type="dxa"/>
            <w:shd w:val="clear" w:color="auto" w:fill="auto"/>
            <w:noWrap/>
          </w:tcPr>
          <w:p w14:paraId="5F023C2E"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0.00%</w:t>
            </w:r>
          </w:p>
        </w:tc>
        <w:tc>
          <w:tcPr>
            <w:tcW w:w="1327" w:type="dxa"/>
            <w:shd w:val="clear" w:color="auto" w:fill="auto"/>
            <w:noWrap/>
          </w:tcPr>
          <w:p w14:paraId="73CB95C9"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0.00%</w:t>
            </w:r>
          </w:p>
        </w:tc>
        <w:tc>
          <w:tcPr>
            <w:tcW w:w="1327" w:type="dxa"/>
            <w:shd w:val="clear" w:color="auto" w:fill="auto"/>
            <w:noWrap/>
          </w:tcPr>
          <w:p w14:paraId="643E417E" w14:textId="77777777" w:rsidR="00667C58" w:rsidRPr="00781608" w:rsidRDefault="00667C58"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0.00%</w:t>
            </w:r>
          </w:p>
        </w:tc>
      </w:tr>
    </w:tbl>
    <w:p w14:paraId="5A5316C5" w14:textId="77777777" w:rsidR="00473730" w:rsidRPr="00781608" w:rsidRDefault="00473730" w:rsidP="00E85684">
      <w:pPr>
        <w:pStyle w:val="ydp360db5b4yiv6248630976msolistparagraph"/>
        <w:spacing w:beforeAutospacing="0" w:after="200" w:afterAutospacing="0" w:line="276" w:lineRule="auto"/>
        <w:ind w:left="1440"/>
        <w:jc w:val="both"/>
        <w:rPr>
          <w:rFonts w:asciiTheme="minorHAnsi" w:hAnsiTheme="minorHAnsi" w:cstheme="minorHAnsi"/>
          <w:sz w:val="24"/>
          <w:szCs w:val="24"/>
        </w:rPr>
      </w:pPr>
    </w:p>
    <w:p w14:paraId="409D5829" w14:textId="77777777" w:rsidR="00A56DF7" w:rsidRPr="00781608" w:rsidRDefault="00A56DF7" w:rsidP="00C81B55">
      <w:pPr>
        <w:pStyle w:val="ydp360db5b4yiv6248630976msolistparagraph"/>
        <w:numPr>
          <w:ilvl w:val="1"/>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t xml:space="preserve">HT:LT ratio of distribution network in FY 2018-19, FY 2019-20, and FY </w:t>
      </w:r>
      <w:proofErr w:type="gramStart"/>
      <w:r w:rsidRPr="00781608">
        <w:rPr>
          <w:rFonts w:asciiTheme="minorHAnsi" w:eastAsia="Times New Roman" w:hAnsiTheme="minorHAnsi" w:cstheme="minorHAnsi"/>
          <w:sz w:val="24"/>
          <w:szCs w:val="24"/>
        </w:rPr>
        <w:t>2020-21;</w:t>
      </w:r>
      <w:proofErr w:type="gramEnd"/>
    </w:p>
    <w:p w14:paraId="6F4BF981" w14:textId="77777777" w:rsidR="00C81B55" w:rsidRPr="00781608" w:rsidRDefault="00C81B55" w:rsidP="00C81B55">
      <w:pPr>
        <w:pStyle w:val="ydp360db5b4yiv6248630976msolistparagraph"/>
        <w:spacing w:beforeAutospacing="0" w:after="200" w:afterAutospacing="0" w:line="276" w:lineRule="auto"/>
        <w:ind w:left="1440"/>
        <w:jc w:val="both"/>
        <w:rPr>
          <w:rFonts w:asciiTheme="minorHAnsi" w:eastAsia="Times New Roman" w:hAnsiTheme="minorHAnsi" w:cstheme="minorHAnsi"/>
          <w:b/>
          <w:bCs/>
          <w:sz w:val="24"/>
          <w:szCs w:val="24"/>
        </w:rPr>
      </w:pPr>
      <w:r w:rsidRPr="00781608">
        <w:rPr>
          <w:rFonts w:asciiTheme="minorHAnsi" w:eastAsia="Times New Roman" w:hAnsiTheme="minorHAnsi" w:cstheme="minorHAnsi"/>
          <w:b/>
          <w:bCs/>
          <w:sz w:val="24"/>
          <w:szCs w:val="24"/>
        </w:rPr>
        <w:t>Compliance:</w:t>
      </w:r>
    </w:p>
    <w:tbl>
      <w:tblPr>
        <w:tblStyle w:val="TableGrid"/>
        <w:tblW w:w="0" w:type="auto"/>
        <w:tblInd w:w="1380" w:type="dxa"/>
        <w:tblLook w:val="04A0" w:firstRow="1" w:lastRow="0" w:firstColumn="1" w:lastColumn="0" w:noHBand="0" w:noVBand="1"/>
      </w:tblPr>
      <w:tblGrid>
        <w:gridCol w:w="2087"/>
        <w:gridCol w:w="1201"/>
        <w:gridCol w:w="1080"/>
        <w:gridCol w:w="1080"/>
      </w:tblGrid>
      <w:tr w:rsidR="00C81B55" w:rsidRPr="00781608" w14:paraId="19BD7A73" w14:textId="77777777" w:rsidTr="005526F4">
        <w:tc>
          <w:tcPr>
            <w:tcW w:w="2087" w:type="dxa"/>
            <w:shd w:val="clear" w:color="auto" w:fill="DEEAF6" w:themeFill="accent5" w:themeFillTint="33"/>
            <w:vAlign w:val="center"/>
          </w:tcPr>
          <w:p w14:paraId="50AFB72F" w14:textId="77777777" w:rsidR="00C81B55" w:rsidRPr="00781608" w:rsidRDefault="00C81B55" w:rsidP="005526F4">
            <w:pPr>
              <w:spacing w:line="312" w:lineRule="atLeast"/>
              <w:jc w:val="center"/>
              <w:rPr>
                <w:rFonts w:asciiTheme="minorHAnsi" w:hAnsiTheme="minorHAnsi" w:cstheme="minorHAnsi"/>
                <w:b/>
                <w:bCs/>
                <w:color w:val="000000"/>
              </w:rPr>
            </w:pPr>
            <w:bookmarkStart w:id="2" w:name="_Hlk93152699"/>
            <w:r w:rsidRPr="00781608">
              <w:rPr>
                <w:rFonts w:asciiTheme="minorHAnsi" w:hAnsiTheme="minorHAnsi" w:cstheme="minorHAnsi"/>
                <w:b/>
                <w:bCs/>
                <w:color w:val="000000"/>
              </w:rPr>
              <w:t>Financial Year</w:t>
            </w:r>
          </w:p>
        </w:tc>
        <w:tc>
          <w:tcPr>
            <w:tcW w:w="1201" w:type="dxa"/>
            <w:shd w:val="clear" w:color="auto" w:fill="DEEAF6" w:themeFill="accent5" w:themeFillTint="33"/>
            <w:vAlign w:val="center"/>
          </w:tcPr>
          <w:p w14:paraId="00136084" w14:textId="77777777" w:rsidR="00C81B55" w:rsidRPr="00781608" w:rsidRDefault="00C81B55" w:rsidP="005526F4">
            <w:pPr>
              <w:spacing w:line="312" w:lineRule="atLeast"/>
              <w:jc w:val="center"/>
              <w:rPr>
                <w:rFonts w:asciiTheme="minorHAnsi" w:hAnsiTheme="minorHAnsi" w:cstheme="minorHAnsi"/>
                <w:b/>
                <w:bCs/>
                <w:color w:val="000000"/>
              </w:rPr>
            </w:pPr>
            <w:r w:rsidRPr="00781608">
              <w:rPr>
                <w:rFonts w:asciiTheme="minorHAnsi" w:hAnsiTheme="minorHAnsi" w:cstheme="minorHAnsi"/>
                <w:b/>
                <w:bCs/>
                <w:color w:val="000000"/>
              </w:rPr>
              <w:t>2018-19</w:t>
            </w:r>
          </w:p>
        </w:tc>
        <w:tc>
          <w:tcPr>
            <w:tcW w:w="1080" w:type="dxa"/>
            <w:shd w:val="clear" w:color="auto" w:fill="DEEAF6" w:themeFill="accent5" w:themeFillTint="33"/>
            <w:vAlign w:val="center"/>
          </w:tcPr>
          <w:p w14:paraId="026A64A6" w14:textId="77777777" w:rsidR="00C81B55" w:rsidRPr="00781608" w:rsidRDefault="00C81B55" w:rsidP="005526F4">
            <w:pPr>
              <w:spacing w:line="312" w:lineRule="atLeast"/>
              <w:jc w:val="center"/>
              <w:rPr>
                <w:rFonts w:asciiTheme="minorHAnsi" w:hAnsiTheme="minorHAnsi" w:cstheme="minorHAnsi"/>
                <w:b/>
                <w:bCs/>
                <w:color w:val="000000"/>
              </w:rPr>
            </w:pPr>
            <w:r w:rsidRPr="00781608">
              <w:rPr>
                <w:rFonts w:asciiTheme="minorHAnsi" w:hAnsiTheme="minorHAnsi" w:cstheme="minorHAnsi"/>
                <w:b/>
                <w:bCs/>
                <w:color w:val="000000"/>
              </w:rPr>
              <w:t>2019-20</w:t>
            </w:r>
          </w:p>
        </w:tc>
        <w:tc>
          <w:tcPr>
            <w:tcW w:w="1080" w:type="dxa"/>
            <w:shd w:val="clear" w:color="auto" w:fill="DEEAF6" w:themeFill="accent5" w:themeFillTint="33"/>
            <w:vAlign w:val="center"/>
          </w:tcPr>
          <w:p w14:paraId="46A3ECBA" w14:textId="77777777" w:rsidR="00C81B55" w:rsidRPr="00781608" w:rsidRDefault="00C81B55" w:rsidP="005526F4">
            <w:pPr>
              <w:spacing w:line="312" w:lineRule="atLeast"/>
              <w:jc w:val="center"/>
              <w:rPr>
                <w:rFonts w:asciiTheme="minorHAnsi" w:hAnsiTheme="minorHAnsi" w:cstheme="minorHAnsi"/>
                <w:b/>
                <w:bCs/>
                <w:color w:val="000000"/>
              </w:rPr>
            </w:pPr>
            <w:r w:rsidRPr="00781608">
              <w:rPr>
                <w:rFonts w:asciiTheme="minorHAnsi" w:hAnsiTheme="minorHAnsi" w:cstheme="minorHAnsi"/>
                <w:b/>
                <w:bCs/>
                <w:color w:val="000000"/>
              </w:rPr>
              <w:t>2020-21</w:t>
            </w:r>
          </w:p>
        </w:tc>
      </w:tr>
      <w:tr w:rsidR="00C81B55" w:rsidRPr="00781608" w14:paraId="4D8DA0E7" w14:textId="77777777" w:rsidTr="00373C74">
        <w:tc>
          <w:tcPr>
            <w:tcW w:w="2087" w:type="dxa"/>
            <w:vAlign w:val="center"/>
          </w:tcPr>
          <w:p w14:paraId="150F5E1A" w14:textId="77777777" w:rsidR="00C81B55" w:rsidRPr="00781608" w:rsidRDefault="00C81B55" w:rsidP="005526F4">
            <w:pPr>
              <w:spacing w:line="276" w:lineRule="auto"/>
              <w:jc w:val="center"/>
              <w:rPr>
                <w:rFonts w:asciiTheme="minorHAnsi" w:hAnsiTheme="minorHAnsi" w:cstheme="minorHAnsi"/>
                <w:color w:val="000000"/>
              </w:rPr>
            </w:pPr>
            <w:r w:rsidRPr="00781608">
              <w:rPr>
                <w:rFonts w:asciiTheme="minorHAnsi" w:hAnsiTheme="minorHAnsi" w:cstheme="minorHAnsi"/>
                <w:color w:val="000000"/>
              </w:rPr>
              <w:t>HT: LT ratio</w:t>
            </w:r>
          </w:p>
        </w:tc>
        <w:tc>
          <w:tcPr>
            <w:tcW w:w="1201" w:type="dxa"/>
            <w:vAlign w:val="center"/>
          </w:tcPr>
          <w:p w14:paraId="0999DA80" w14:textId="0EA47E62" w:rsidR="00C81B55" w:rsidRPr="00781608" w:rsidRDefault="00C81B55" w:rsidP="005526F4">
            <w:pPr>
              <w:spacing w:line="276" w:lineRule="auto"/>
              <w:jc w:val="center"/>
              <w:rPr>
                <w:rFonts w:asciiTheme="minorHAnsi" w:hAnsiTheme="minorHAnsi" w:cstheme="minorHAnsi"/>
                <w:color w:val="000000"/>
              </w:rPr>
            </w:pPr>
            <w:r w:rsidRPr="00781608">
              <w:rPr>
                <w:rFonts w:asciiTheme="minorHAnsi" w:hAnsiTheme="minorHAnsi" w:cstheme="minorHAnsi"/>
                <w:color w:val="000000"/>
              </w:rPr>
              <w:t>1.46</w:t>
            </w:r>
            <w:r w:rsidR="00C56640">
              <w:rPr>
                <w:rFonts w:asciiTheme="minorHAnsi" w:hAnsiTheme="minorHAnsi" w:cstheme="minorHAnsi"/>
                <w:color w:val="000000"/>
              </w:rPr>
              <w:t>:1</w:t>
            </w:r>
          </w:p>
        </w:tc>
        <w:tc>
          <w:tcPr>
            <w:tcW w:w="1080" w:type="dxa"/>
            <w:vAlign w:val="center"/>
          </w:tcPr>
          <w:p w14:paraId="6E6005D0" w14:textId="7657BC24" w:rsidR="00C81B55" w:rsidRPr="00781608" w:rsidRDefault="00C81B55" w:rsidP="005526F4">
            <w:pPr>
              <w:spacing w:line="276" w:lineRule="auto"/>
              <w:jc w:val="center"/>
              <w:rPr>
                <w:rFonts w:asciiTheme="minorHAnsi" w:hAnsiTheme="minorHAnsi" w:cstheme="minorHAnsi"/>
                <w:color w:val="000000"/>
              </w:rPr>
            </w:pPr>
            <w:r w:rsidRPr="00781608">
              <w:rPr>
                <w:rFonts w:asciiTheme="minorHAnsi" w:hAnsiTheme="minorHAnsi" w:cstheme="minorHAnsi"/>
                <w:color w:val="000000"/>
              </w:rPr>
              <w:t>1.49</w:t>
            </w:r>
            <w:r w:rsidR="00C56640">
              <w:rPr>
                <w:rFonts w:asciiTheme="minorHAnsi" w:hAnsiTheme="minorHAnsi" w:cstheme="minorHAnsi"/>
                <w:color w:val="000000"/>
              </w:rPr>
              <w:t>:1</w:t>
            </w:r>
          </w:p>
        </w:tc>
        <w:tc>
          <w:tcPr>
            <w:tcW w:w="1080" w:type="dxa"/>
            <w:vAlign w:val="center"/>
          </w:tcPr>
          <w:p w14:paraId="74CBE7EF" w14:textId="21479F56" w:rsidR="00C81B55" w:rsidRPr="00781608" w:rsidRDefault="00C81B55" w:rsidP="005526F4">
            <w:pPr>
              <w:spacing w:line="276" w:lineRule="auto"/>
              <w:jc w:val="center"/>
              <w:rPr>
                <w:rFonts w:asciiTheme="minorHAnsi" w:hAnsiTheme="minorHAnsi" w:cstheme="minorHAnsi"/>
                <w:color w:val="000000"/>
              </w:rPr>
            </w:pPr>
            <w:r w:rsidRPr="00781608">
              <w:rPr>
                <w:rFonts w:asciiTheme="minorHAnsi" w:hAnsiTheme="minorHAnsi" w:cstheme="minorHAnsi"/>
                <w:color w:val="000000"/>
              </w:rPr>
              <w:t>1.48</w:t>
            </w:r>
            <w:r w:rsidR="00C56640">
              <w:rPr>
                <w:rFonts w:asciiTheme="minorHAnsi" w:hAnsiTheme="minorHAnsi" w:cstheme="minorHAnsi"/>
                <w:color w:val="000000"/>
              </w:rPr>
              <w:t>:1</w:t>
            </w:r>
          </w:p>
        </w:tc>
      </w:tr>
      <w:bookmarkEnd w:id="2"/>
    </w:tbl>
    <w:p w14:paraId="4D62991B" w14:textId="77777777" w:rsidR="00C81B55" w:rsidRPr="00781608" w:rsidRDefault="00C81B55" w:rsidP="009533C7">
      <w:pPr>
        <w:pStyle w:val="ydp360db5b4yiv6248630976msolistparagraph"/>
        <w:spacing w:beforeAutospacing="0" w:after="200" w:afterAutospacing="0" w:line="276" w:lineRule="auto"/>
        <w:ind w:left="1440"/>
        <w:jc w:val="both"/>
        <w:rPr>
          <w:rFonts w:asciiTheme="minorHAnsi" w:hAnsiTheme="minorHAnsi" w:cstheme="minorHAnsi"/>
          <w:sz w:val="24"/>
          <w:szCs w:val="24"/>
        </w:rPr>
      </w:pPr>
    </w:p>
    <w:p w14:paraId="5A987CD2" w14:textId="77777777" w:rsidR="00A56DF7" w:rsidRPr="00781608" w:rsidRDefault="00A56DF7" w:rsidP="009533C7">
      <w:pPr>
        <w:pStyle w:val="ydp360db5b4yiv6248630976msolistparagraph"/>
        <w:numPr>
          <w:ilvl w:val="1"/>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t>Percentage of metered and unmetered agricultural consumption out of total consumption in FY 2018-19, FY 2019-20, and FY 2020-21.</w:t>
      </w:r>
    </w:p>
    <w:p w14:paraId="26F9603A" w14:textId="77777777" w:rsidR="00E70396" w:rsidRPr="00781608" w:rsidRDefault="00836677" w:rsidP="00E85684">
      <w:pPr>
        <w:pStyle w:val="ydp360db5b4yiv6248630976msolistparagraph"/>
        <w:spacing w:beforeAutospacing="0" w:after="200" w:afterAutospacing="0" w:line="276" w:lineRule="auto"/>
        <w:ind w:left="720" w:firstLine="720"/>
        <w:jc w:val="both"/>
        <w:rPr>
          <w:rFonts w:asciiTheme="minorHAnsi" w:eastAsia="Times New Roman" w:hAnsiTheme="minorHAnsi" w:cstheme="minorHAnsi"/>
          <w:b/>
          <w:bCs/>
          <w:sz w:val="24"/>
          <w:szCs w:val="24"/>
        </w:rPr>
      </w:pPr>
      <w:r w:rsidRPr="00781608">
        <w:rPr>
          <w:rFonts w:asciiTheme="minorHAnsi" w:eastAsia="Times New Roman" w:hAnsiTheme="minorHAnsi" w:cstheme="minorHAnsi"/>
          <w:b/>
          <w:bCs/>
          <w:sz w:val="24"/>
          <w:szCs w:val="24"/>
        </w:rPr>
        <w:t>Compliance</w:t>
      </w:r>
      <w:r w:rsidR="00E70396" w:rsidRPr="00781608">
        <w:rPr>
          <w:rFonts w:asciiTheme="minorHAnsi" w:eastAsia="Times New Roman" w:hAnsiTheme="minorHAnsi" w:cstheme="minorHAnsi"/>
          <w:b/>
          <w:bCs/>
          <w:sz w:val="24"/>
          <w:szCs w:val="24"/>
        </w:rPr>
        <w:t>:</w:t>
      </w:r>
    </w:p>
    <w:tbl>
      <w:tblPr>
        <w:tblW w:w="5881" w:type="dxa"/>
        <w:tblInd w:w="1413" w:type="dxa"/>
        <w:tblLook w:val="04A0" w:firstRow="1" w:lastRow="0" w:firstColumn="1" w:lastColumn="0" w:noHBand="0" w:noVBand="1"/>
      </w:tblPr>
      <w:tblGrid>
        <w:gridCol w:w="1900"/>
        <w:gridCol w:w="1327"/>
        <w:gridCol w:w="1327"/>
        <w:gridCol w:w="1327"/>
      </w:tblGrid>
      <w:tr w:rsidR="003C247B" w:rsidRPr="00781608" w14:paraId="59F5A6EF" w14:textId="77777777" w:rsidTr="00E70396">
        <w:trPr>
          <w:trHeight w:val="300"/>
        </w:trPr>
        <w:tc>
          <w:tcPr>
            <w:tcW w:w="1900" w:type="dxa"/>
            <w:tcBorders>
              <w:top w:val="single" w:sz="4" w:space="0" w:color="auto"/>
              <w:left w:val="single" w:sz="4" w:space="0" w:color="auto"/>
              <w:bottom w:val="single" w:sz="4" w:space="0" w:color="auto"/>
              <w:right w:val="single" w:sz="4" w:space="0" w:color="auto"/>
            </w:tcBorders>
            <w:shd w:val="clear" w:color="000000" w:fill="DDEBF7"/>
            <w:noWrap/>
            <w:hideMark/>
          </w:tcPr>
          <w:p w14:paraId="47ED660A" w14:textId="77777777" w:rsidR="00E70396" w:rsidRPr="00781608" w:rsidRDefault="00E70396" w:rsidP="00E85684">
            <w:pPr>
              <w:spacing w:line="276" w:lineRule="auto"/>
              <w:rPr>
                <w:rFonts w:asciiTheme="minorHAnsi" w:eastAsia="Times New Roman" w:hAnsiTheme="minorHAnsi" w:cstheme="minorHAnsi"/>
                <w:b/>
                <w:bCs/>
              </w:rPr>
            </w:pPr>
            <w:r w:rsidRPr="00781608">
              <w:rPr>
                <w:rFonts w:asciiTheme="minorHAnsi" w:eastAsia="Times New Roman" w:hAnsiTheme="minorHAnsi" w:cstheme="minorHAnsi"/>
                <w:b/>
                <w:bCs/>
              </w:rPr>
              <w:t>Particular</w:t>
            </w:r>
          </w:p>
        </w:tc>
        <w:tc>
          <w:tcPr>
            <w:tcW w:w="1327" w:type="dxa"/>
            <w:tcBorders>
              <w:top w:val="single" w:sz="4" w:space="0" w:color="auto"/>
              <w:left w:val="nil"/>
              <w:bottom w:val="single" w:sz="4" w:space="0" w:color="auto"/>
              <w:right w:val="single" w:sz="4" w:space="0" w:color="auto"/>
            </w:tcBorders>
            <w:shd w:val="clear" w:color="000000" w:fill="DDEBF7"/>
            <w:hideMark/>
          </w:tcPr>
          <w:p w14:paraId="797066B8" w14:textId="77777777" w:rsidR="00E70396" w:rsidRPr="00781608" w:rsidRDefault="00E70396" w:rsidP="00E85684">
            <w:pPr>
              <w:spacing w:line="276" w:lineRule="auto"/>
              <w:rPr>
                <w:rFonts w:asciiTheme="minorHAnsi" w:eastAsia="Times New Roman" w:hAnsiTheme="minorHAnsi" w:cstheme="minorHAnsi"/>
                <w:b/>
                <w:bCs/>
              </w:rPr>
            </w:pPr>
            <w:r w:rsidRPr="00781608">
              <w:rPr>
                <w:rFonts w:asciiTheme="minorHAnsi" w:eastAsia="Times New Roman" w:hAnsiTheme="minorHAnsi" w:cstheme="minorHAnsi"/>
                <w:b/>
                <w:bCs/>
              </w:rPr>
              <w:t>FY 2018-19</w:t>
            </w:r>
          </w:p>
        </w:tc>
        <w:tc>
          <w:tcPr>
            <w:tcW w:w="1327" w:type="dxa"/>
            <w:tcBorders>
              <w:top w:val="single" w:sz="4" w:space="0" w:color="auto"/>
              <w:left w:val="nil"/>
              <w:bottom w:val="single" w:sz="4" w:space="0" w:color="auto"/>
              <w:right w:val="single" w:sz="4" w:space="0" w:color="auto"/>
            </w:tcBorders>
            <w:shd w:val="clear" w:color="000000" w:fill="DDEBF7"/>
            <w:hideMark/>
          </w:tcPr>
          <w:p w14:paraId="68219FEC" w14:textId="77777777" w:rsidR="00E70396" w:rsidRPr="00781608" w:rsidRDefault="00E70396" w:rsidP="00E85684">
            <w:pPr>
              <w:spacing w:line="276" w:lineRule="auto"/>
              <w:rPr>
                <w:rFonts w:asciiTheme="minorHAnsi" w:eastAsia="Times New Roman" w:hAnsiTheme="minorHAnsi" w:cstheme="minorHAnsi"/>
                <w:b/>
                <w:bCs/>
              </w:rPr>
            </w:pPr>
            <w:r w:rsidRPr="00781608">
              <w:rPr>
                <w:rFonts w:asciiTheme="minorHAnsi" w:eastAsia="Times New Roman" w:hAnsiTheme="minorHAnsi" w:cstheme="minorHAnsi"/>
                <w:b/>
                <w:bCs/>
              </w:rPr>
              <w:t>FY 2019-20</w:t>
            </w:r>
          </w:p>
        </w:tc>
        <w:tc>
          <w:tcPr>
            <w:tcW w:w="1327" w:type="dxa"/>
            <w:tcBorders>
              <w:top w:val="single" w:sz="4" w:space="0" w:color="auto"/>
              <w:left w:val="nil"/>
              <w:bottom w:val="single" w:sz="4" w:space="0" w:color="auto"/>
              <w:right w:val="single" w:sz="4" w:space="0" w:color="auto"/>
            </w:tcBorders>
            <w:shd w:val="clear" w:color="000000" w:fill="DDEBF7"/>
            <w:hideMark/>
          </w:tcPr>
          <w:p w14:paraId="6D00FCF8" w14:textId="77777777" w:rsidR="00E70396" w:rsidRPr="00781608" w:rsidRDefault="00E70396" w:rsidP="00E85684">
            <w:pPr>
              <w:spacing w:line="276" w:lineRule="auto"/>
              <w:rPr>
                <w:rFonts w:asciiTheme="minorHAnsi" w:eastAsia="Times New Roman" w:hAnsiTheme="minorHAnsi" w:cstheme="minorHAnsi"/>
                <w:b/>
                <w:bCs/>
              </w:rPr>
            </w:pPr>
            <w:r w:rsidRPr="00781608">
              <w:rPr>
                <w:rFonts w:asciiTheme="minorHAnsi" w:eastAsia="Times New Roman" w:hAnsiTheme="minorHAnsi" w:cstheme="minorHAnsi"/>
                <w:b/>
                <w:bCs/>
              </w:rPr>
              <w:t>FY 2020-21</w:t>
            </w:r>
          </w:p>
        </w:tc>
      </w:tr>
      <w:tr w:rsidR="003C247B" w:rsidRPr="00781608" w14:paraId="5EBBA448" w14:textId="77777777" w:rsidTr="00E70396">
        <w:trPr>
          <w:trHeight w:val="300"/>
        </w:trPr>
        <w:tc>
          <w:tcPr>
            <w:tcW w:w="1900" w:type="dxa"/>
            <w:tcBorders>
              <w:top w:val="nil"/>
              <w:left w:val="single" w:sz="4" w:space="0" w:color="auto"/>
              <w:bottom w:val="single" w:sz="4" w:space="0" w:color="auto"/>
              <w:right w:val="single" w:sz="4" w:space="0" w:color="auto"/>
            </w:tcBorders>
            <w:shd w:val="clear" w:color="auto" w:fill="auto"/>
            <w:hideMark/>
          </w:tcPr>
          <w:p w14:paraId="40120DF1" w14:textId="77777777" w:rsidR="00E70396" w:rsidRPr="00781608" w:rsidRDefault="00E70396"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AG - Unmetered</w:t>
            </w:r>
          </w:p>
        </w:tc>
        <w:tc>
          <w:tcPr>
            <w:tcW w:w="1327" w:type="dxa"/>
            <w:tcBorders>
              <w:top w:val="nil"/>
              <w:left w:val="nil"/>
              <w:bottom w:val="single" w:sz="4" w:space="0" w:color="auto"/>
              <w:right w:val="single" w:sz="4" w:space="0" w:color="auto"/>
            </w:tcBorders>
            <w:shd w:val="clear" w:color="auto" w:fill="auto"/>
            <w:noWrap/>
            <w:hideMark/>
          </w:tcPr>
          <w:p w14:paraId="0FADBEB4" w14:textId="77777777" w:rsidR="00E70396" w:rsidRPr="00781608" w:rsidRDefault="00E70396"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28.26%</w:t>
            </w:r>
          </w:p>
        </w:tc>
        <w:tc>
          <w:tcPr>
            <w:tcW w:w="1327" w:type="dxa"/>
            <w:tcBorders>
              <w:top w:val="nil"/>
              <w:left w:val="nil"/>
              <w:bottom w:val="single" w:sz="4" w:space="0" w:color="auto"/>
              <w:right w:val="single" w:sz="4" w:space="0" w:color="auto"/>
            </w:tcBorders>
            <w:shd w:val="clear" w:color="auto" w:fill="auto"/>
            <w:noWrap/>
            <w:hideMark/>
          </w:tcPr>
          <w:p w14:paraId="1779C54D" w14:textId="77777777" w:rsidR="00E70396" w:rsidRPr="00781608" w:rsidRDefault="00E70396"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28.71%</w:t>
            </w:r>
          </w:p>
        </w:tc>
        <w:tc>
          <w:tcPr>
            <w:tcW w:w="1327" w:type="dxa"/>
            <w:tcBorders>
              <w:top w:val="nil"/>
              <w:left w:val="nil"/>
              <w:bottom w:val="single" w:sz="4" w:space="0" w:color="auto"/>
              <w:right w:val="single" w:sz="4" w:space="0" w:color="auto"/>
            </w:tcBorders>
            <w:shd w:val="clear" w:color="auto" w:fill="auto"/>
            <w:noWrap/>
            <w:hideMark/>
          </w:tcPr>
          <w:p w14:paraId="3592E082" w14:textId="77777777" w:rsidR="00E70396" w:rsidRPr="00781608" w:rsidRDefault="00E70396"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28.45%</w:t>
            </w:r>
          </w:p>
        </w:tc>
      </w:tr>
      <w:tr w:rsidR="00E70396" w:rsidRPr="00781608" w14:paraId="732E86C6" w14:textId="77777777" w:rsidTr="00E70396">
        <w:trPr>
          <w:trHeight w:val="300"/>
        </w:trPr>
        <w:tc>
          <w:tcPr>
            <w:tcW w:w="1900" w:type="dxa"/>
            <w:tcBorders>
              <w:top w:val="nil"/>
              <w:left w:val="single" w:sz="4" w:space="0" w:color="auto"/>
              <w:bottom w:val="single" w:sz="4" w:space="0" w:color="auto"/>
              <w:right w:val="single" w:sz="4" w:space="0" w:color="auto"/>
            </w:tcBorders>
            <w:shd w:val="clear" w:color="auto" w:fill="auto"/>
            <w:hideMark/>
          </w:tcPr>
          <w:p w14:paraId="5F9A3BD1" w14:textId="77777777" w:rsidR="00E70396" w:rsidRPr="00781608" w:rsidRDefault="00E70396"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AG - Metered</w:t>
            </w:r>
          </w:p>
        </w:tc>
        <w:tc>
          <w:tcPr>
            <w:tcW w:w="1327" w:type="dxa"/>
            <w:tcBorders>
              <w:top w:val="nil"/>
              <w:left w:val="nil"/>
              <w:bottom w:val="single" w:sz="4" w:space="0" w:color="auto"/>
              <w:right w:val="single" w:sz="4" w:space="0" w:color="auto"/>
            </w:tcBorders>
            <w:shd w:val="clear" w:color="auto" w:fill="auto"/>
            <w:noWrap/>
            <w:hideMark/>
          </w:tcPr>
          <w:p w14:paraId="3AF59CB7" w14:textId="77777777" w:rsidR="00E70396" w:rsidRPr="00781608" w:rsidRDefault="00E70396"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15.21%</w:t>
            </w:r>
          </w:p>
        </w:tc>
        <w:tc>
          <w:tcPr>
            <w:tcW w:w="1327" w:type="dxa"/>
            <w:tcBorders>
              <w:top w:val="nil"/>
              <w:left w:val="nil"/>
              <w:bottom w:val="single" w:sz="4" w:space="0" w:color="auto"/>
              <w:right w:val="single" w:sz="4" w:space="0" w:color="auto"/>
            </w:tcBorders>
            <w:shd w:val="clear" w:color="auto" w:fill="auto"/>
            <w:noWrap/>
            <w:hideMark/>
          </w:tcPr>
          <w:p w14:paraId="7B89DF82" w14:textId="77777777" w:rsidR="00E70396" w:rsidRPr="00781608" w:rsidRDefault="00E70396"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13.37%</w:t>
            </w:r>
          </w:p>
        </w:tc>
        <w:tc>
          <w:tcPr>
            <w:tcW w:w="1327" w:type="dxa"/>
            <w:tcBorders>
              <w:top w:val="nil"/>
              <w:left w:val="nil"/>
              <w:bottom w:val="single" w:sz="4" w:space="0" w:color="auto"/>
              <w:right w:val="single" w:sz="4" w:space="0" w:color="auto"/>
            </w:tcBorders>
            <w:shd w:val="clear" w:color="auto" w:fill="auto"/>
            <w:noWrap/>
            <w:hideMark/>
          </w:tcPr>
          <w:p w14:paraId="735085EB" w14:textId="77777777" w:rsidR="00E70396" w:rsidRPr="00781608" w:rsidRDefault="00E70396"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15.39%</w:t>
            </w:r>
          </w:p>
        </w:tc>
      </w:tr>
    </w:tbl>
    <w:p w14:paraId="5AF54440" w14:textId="77777777" w:rsidR="00E70396" w:rsidRPr="00781608" w:rsidRDefault="00E70396" w:rsidP="00E85684">
      <w:pPr>
        <w:pStyle w:val="ydp360db5b4yiv6248630976msolistparagraph"/>
        <w:spacing w:beforeAutospacing="0" w:after="200" w:afterAutospacing="0" w:line="276" w:lineRule="auto"/>
        <w:ind w:left="1440"/>
        <w:jc w:val="both"/>
        <w:rPr>
          <w:rFonts w:asciiTheme="minorHAnsi" w:hAnsiTheme="minorHAnsi" w:cstheme="minorHAnsi"/>
          <w:sz w:val="24"/>
          <w:szCs w:val="24"/>
        </w:rPr>
      </w:pPr>
    </w:p>
    <w:p w14:paraId="0E4841DD" w14:textId="77777777" w:rsidR="00A56DF7" w:rsidRPr="00781608" w:rsidRDefault="00A56DF7" w:rsidP="00E85684">
      <w:pPr>
        <w:pStyle w:val="ydp360db5b4yiv6248630976msolistparagraph"/>
        <w:numPr>
          <w:ilvl w:val="0"/>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t>UGVCL should submit documentary proof for claiming pooled losses in PGCIL system of 460.05 MUs for FY 2020-21.</w:t>
      </w:r>
    </w:p>
    <w:p w14:paraId="0513835F" w14:textId="77777777" w:rsidR="00334ACA" w:rsidRPr="00781608" w:rsidRDefault="00334ACA" w:rsidP="00E85684">
      <w:pPr>
        <w:pStyle w:val="ListParagraph"/>
        <w:spacing w:before="200" w:line="276" w:lineRule="auto"/>
        <w:jc w:val="both"/>
        <w:rPr>
          <w:rFonts w:asciiTheme="minorHAnsi" w:eastAsia="Times New Roman" w:hAnsiTheme="minorHAnsi" w:cstheme="minorHAnsi"/>
          <w:b/>
          <w:bCs/>
          <w:sz w:val="24"/>
          <w:szCs w:val="24"/>
        </w:rPr>
      </w:pPr>
      <w:r w:rsidRPr="00781608">
        <w:rPr>
          <w:rFonts w:asciiTheme="minorHAnsi" w:eastAsia="Times New Roman" w:hAnsiTheme="minorHAnsi" w:cstheme="minorHAnsi"/>
          <w:b/>
          <w:bCs/>
          <w:sz w:val="24"/>
          <w:szCs w:val="24"/>
        </w:rPr>
        <w:t xml:space="preserve">Compliance: </w:t>
      </w:r>
    </w:p>
    <w:p w14:paraId="58A37CF2" w14:textId="77777777" w:rsidR="00334ACA" w:rsidRPr="00781608" w:rsidRDefault="00334ACA" w:rsidP="00E85684">
      <w:pPr>
        <w:pStyle w:val="ListParagraph"/>
        <w:spacing w:before="200" w:line="276" w:lineRule="auto"/>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lastRenderedPageBreak/>
        <w:t xml:space="preserve">The PGCIL system pooled losses are worked out as per the weekly Pooled Losses notified by WRLDC for the energy scheduled by WRLDC through CTU for FY 2020-21. The copy of weekly pooled losses notified by WRLDC is annexed as </w:t>
      </w:r>
      <w:r w:rsidRPr="00781608">
        <w:rPr>
          <w:rFonts w:asciiTheme="minorHAnsi" w:eastAsia="Times New Roman" w:hAnsiTheme="minorHAnsi" w:cstheme="minorHAnsi"/>
          <w:b/>
          <w:bCs/>
          <w:sz w:val="24"/>
          <w:szCs w:val="24"/>
        </w:rPr>
        <w:t>Annexure GU-01</w:t>
      </w:r>
      <w:r w:rsidRPr="00781608">
        <w:rPr>
          <w:rFonts w:asciiTheme="minorHAnsi" w:eastAsia="Times New Roman" w:hAnsiTheme="minorHAnsi" w:cstheme="minorHAnsi"/>
          <w:sz w:val="24"/>
          <w:szCs w:val="24"/>
        </w:rPr>
        <w:t xml:space="preserve"> whereas the detail for Power Purchase from Centre Sector is already provided in Form 02. Further, the details of DISCOM wise pooled losses are as under:</w:t>
      </w:r>
    </w:p>
    <w:p w14:paraId="12FD3AEA" w14:textId="77777777" w:rsidR="00334ACA" w:rsidRPr="00781608" w:rsidRDefault="00334ACA" w:rsidP="00E85684">
      <w:pPr>
        <w:pStyle w:val="ListParagraph"/>
        <w:spacing w:before="200" w:line="276" w:lineRule="auto"/>
        <w:jc w:val="both"/>
        <w:rPr>
          <w:rFonts w:asciiTheme="minorHAnsi" w:hAnsiTheme="minorHAnsi" w:cstheme="minorHAnsi"/>
        </w:rPr>
      </w:pPr>
    </w:p>
    <w:p w14:paraId="17C9E52C" w14:textId="77777777" w:rsidR="00334ACA" w:rsidRPr="00781608" w:rsidRDefault="00334ACA" w:rsidP="00E85684">
      <w:pPr>
        <w:pStyle w:val="ListParagraph"/>
        <w:spacing w:before="200" w:line="276" w:lineRule="auto"/>
        <w:jc w:val="both"/>
        <w:rPr>
          <w:rFonts w:asciiTheme="minorHAnsi" w:hAnsiTheme="minorHAnsi" w:cstheme="minorHAnsi"/>
        </w:rPr>
      </w:pPr>
      <w:r w:rsidRPr="00781608">
        <w:rPr>
          <w:rFonts w:asciiTheme="minorHAnsi" w:hAnsiTheme="minorHAnsi" w:cstheme="minorHAnsi"/>
          <w:noProof/>
          <w:lang w:val="en-US" w:eastAsia="en-US" w:bidi="gu-IN"/>
        </w:rPr>
        <w:drawing>
          <wp:inline distT="0" distB="0" distL="0" distR="0" wp14:anchorId="157EA980" wp14:editId="7D5CBAE0">
            <wp:extent cx="5268275" cy="2587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74436" cy="2590951"/>
                    </a:xfrm>
                    <a:prstGeom prst="rect">
                      <a:avLst/>
                    </a:prstGeom>
                    <a:noFill/>
                    <a:ln w="9525">
                      <a:noFill/>
                      <a:miter lim="800000"/>
                      <a:headEnd/>
                      <a:tailEnd/>
                    </a:ln>
                  </pic:spPr>
                </pic:pic>
              </a:graphicData>
            </a:graphic>
          </wp:inline>
        </w:drawing>
      </w:r>
    </w:p>
    <w:p w14:paraId="37698B5F" w14:textId="77777777" w:rsidR="00334ACA" w:rsidRPr="00781608" w:rsidRDefault="00334ACA" w:rsidP="00E85684">
      <w:pPr>
        <w:pStyle w:val="ydp360db5b4yiv6248630976msolistparagraph"/>
        <w:spacing w:beforeAutospacing="0" w:after="200" w:afterAutospacing="0" w:line="276" w:lineRule="auto"/>
        <w:ind w:left="720"/>
        <w:jc w:val="both"/>
        <w:rPr>
          <w:rFonts w:asciiTheme="minorHAnsi" w:hAnsiTheme="minorHAnsi" w:cstheme="minorHAnsi"/>
          <w:sz w:val="24"/>
          <w:szCs w:val="24"/>
        </w:rPr>
      </w:pPr>
    </w:p>
    <w:p w14:paraId="671492CD" w14:textId="77777777" w:rsidR="00A56DF7" w:rsidRPr="00781608" w:rsidRDefault="00A56DF7" w:rsidP="00E85684">
      <w:pPr>
        <w:pStyle w:val="ydp360db5b4yiv6248630976msolistparagraph"/>
        <w:numPr>
          <w:ilvl w:val="0"/>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t xml:space="preserve">UGVCL should submit the SLDC Certificate for the Energy Input considered in the Energy Balance for FY 2020-21. </w:t>
      </w:r>
    </w:p>
    <w:p w14:paraId="1B50B3C4" w14:textId="77777777" w:rsidR="00334ACA" w:rsidRPr="00781608" w:rsidRDefault="00334ACA" w:rsidP="00E85684">
      <w:pPr>
        <w:pStyle w:val="ListParagraph"/>
        <w:spacing w:line="276" w:lineRule="auto"/>
        <w:jc w:val="both"/>
        <w:rPr>
          <w:rFonts w:asciiTheme="minorHAnsi" w:hAnsiTheme="minorHAnsi" w:cstheme="minorHAnsi"/>
          <w:b/>
          <w:bCs/>
        </w:rPr>
      </w:pPr>
      <w:r w:rsidRPr="00781608">
        <w:rPr>
          <w:rFonts w:asciiTheme="minorHAnsi" w:hAnsiTheme="minorHAnsi" w:cstheme="minorHAnsi"/>
          <w:b/>
          <w:bCs/>
        </w:rPr>
        <w:t xml:space="preserve">Compliance: </w:t>
      </w:r>
    </w:p>
    <w:p w14:paraId="020D3242" w14:textId="77777777" w:rsidR="00334ACA" w:rsidRPr="00781608" w:rsidRDefault="00334ACA" w:rsidP="00E54D67">
      <w:pPr>
        <w:pStyle w:val="ListParagraph"/>
        <w:spacing w:before="200" w:line="276" w:lineRule="auto"/>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 xml:space="preserve">Copies of month wise State Energy Certificate is annexed as </w:t>
      </w:r>
      <w:r w:rsidRPr="00781608">
        <w:rPr>
          <w:rFonts w:asciiTheme="minorHAnsi" w:eastAsia="Times New Roman" w:hAnsiTheme="minorHAnsi" w:cstheme="minorHAnsi"/>
          <w:b/>
          <w:bCs/>
          <w:sz w:val="24"/>
          <w:szCs w:val="24"/>
        </w:rPr>
        <w:t>Annexure GU-02</w:t>
      </w:r>
      <w:r w:rsidRPr="00781608">
        <w:rPr>
          <w:rFonts w:asciiTheme="minorHAnsi" w:eastAsia="Times New Roman" w:hAnsiTheme="minorHAnsi" w:cstheme="minorHAnsi"/>
          <w:sz w:val="24"/>
          <w:szCs w:val="24"/>
        </w:rPr>
        <w:t xml:space="preserve"> (Collectively).</w:t>
      </w:r>
    </w:p>
    <w:p w14:paraId="4F4DCF77" w14:textId="77777777" w:rsidR="00A56DF7" w:rsidRPr="00781608" w:rsidRDefault="00A56DF7" w:rsidP="00E54D67">
      <w:pPr>
        <w:pStyle w:val="ydp360db5b4yiv6248630976msolistparagraph"/>
        <w:numPr>
          <w:ilvl w:val="0"/>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t>As regards power purchase cost for FY 2020-21, UGVCL should submit the following:</w:t>
      </w:r>
    </w:p>
    <w:p w14:paraId="771CD8A1" w14:textId="77777777" w:rsidR="00A56DF7" w:rsidRPr="00781608" w:rsidRDefault="00A56DF7" w:rsidP="00E85684">
      <w:pPr>
        <w:pStyle w:val="ydp360db5b4yiv6248630976msolistparagraph"/>
        <w:numPr>
          <w:ilvl w:val="1"/>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t>source-wise power purchase per unit cost approved in MTR Order and source wise-per unit power purchase cost now claimed in Truing-</w:t>
      </w:r>
      <w:proofErr w:type="gramStart"/>
      <w:r w:rsidRPr="00781608">
        <w:rPr>
          <w:rFonts w:asciiTheme="minorHAnsi" w:eastAsia="Times New Roman" w:hAnsiTheme="minorHAnsi" w:cstheme="minorHAnsi"/>
          <w:sz w:val="24"/>
          <w:szCs w:val="24"/>
        </w:rPr>
        <w:t>up;</w:t>
      </w:r>
      <w:proofErr w:type="gramEnd"/>
      <w:r w:rsidRPr="00781608">
        <w:rPr>
          <w:rFonts w:asciiTheme="minorHAnsi" w:eastAsia="Times New Roman" w:hAnsiTheme="minorHAnsi" w:cstheme="minorHAnsi"/>
          <w:sz w:val="24"/>
          <w:szCs w:val="24"/>
        </w:rPr>
        <w:t xml:space="preserve"> </w:t>
      </w:r>
    </w:p>
    <w:p w14:paraId="28AF8583" w14:textId="77777777" w:rsidR="00334ACA" w:rsidRPr="00781608" w:rsidRDefault="00334ACA" w:rsidP="00E85684">
      <w:pPr>
        <w:pStyle w:val="ListParagraph"/>
        <w:spacing w:line="276" w:lineRule="auto"/>
        <w:ind w:firstLine="720"/>
        <w:jc w:val="both"/>
        <w:rPr>
          <w:rFonts w:asciiTheme="minorHAnsi" w:hAnsiTheme="minorHAnsi" w:cstheme="minorHAnsi"/>
          <w:b/>
          <w:bCs/>
        </w:rPr>
      </w:pPr>
      <w:r w:rsidRPr="00781608">
        <w:rPr>
          <w:rFonts w:asciiTheme="minorHAnsi" w:hAnsiTheme="minorHAnsi" w:cstheme="minorHAnsi"/>
          <w:b/>
          <w:bCs/>
        </w:rPr>
        <w:t xml:space="preserve">Compliance: </w:t>
      </w:r>
    </w:p>
    <w:p w14:paraId="70A1B127" w14:textId="77777777" w:rsidR="00334ACA" w:rsidRPr="00781608" w:rsidRDefault="00334ACA" w:rsidP="00E85684">
      <w:pPr>
        <w:pStyle w:val="ListParagraph"/>
        <w:spacing w:after="120" w:line="276" w:lineRule="auto"/>
        <w:ind w:left="1440"/>
        <w:jc w:val="both"/>
        <w:rPr>
          <w:rFonts w:asciiTheme="minorHAnsi" w:eastAsia="Times New Roman" w:hAnsiTheme="minorHAnsi" w:cstheme="minorHAnsi"/>
        </w:rPr>
      </w:pPr>
      <w:r w:rsidRPr="00781608">
        <w:rPr>
          <w:rFonts w:asciiTheme="minorHAnsi" w:eastAsia="Times New Roman" w:hAnsiTheme="minorHAnsi" w:cstheme="minorHAnsi"/>
          <w:sz w:val="24"/>
          <w:szCs w:val="24"/>
        </w:rPr>
        <w:t>The details of source wise power purchase per unit cost approved in the MTR Order dated 24.04.2019 viz-a-viz per unit power purchase cost claimed in Truing up is as annexed at</w:t>
      </w:r>
      <w:r w:rsidR="00E54D67" w:rsidRPr="00781608">
        <w:rPr>
          <w:rFonts w:asciiTheme="minorHAnsi" w:eastAsia="Times New Roman" w:hAnsiTheme="minorHAnsi" w:cstheme="minorHAnsi"/>
          <w:sz w:val="24"/>
          <w:szCs w:val="24"/>
        </w:rPr>
        <w:t xml:space="preserve"> </w:t>
      </w:r>
      <w:r w:rsidRPr="00781608">
        <w:rPr>
          <w:rFonts w:asciiTheme="minorHAnsi" w:eastAsia="Times New Roman" w:hAnsiTheme="minorHAnsi" w:cstheme="minorHAnsi"/>
          <w:b/>
          <w:bCs/>
          <w:sz w:val="24"/>
          <w:szCs w:val="24"/>
        </w:rPr>
        <w:t>Annexure GU-03.</w:t>
      </w:r>
    </w:p>
    <w:p w14:paraId="061618B6" w14:textId="77777777" w:rsidR="00A56DF7" w:rsidRPr="00781608" w:rsidRDefault="00A56DF7" w:rsidP="00E85684">
      <w:pPr>
        <w:pStyle w:val="ydp360db5b4yiv6248630976msolistparagraph"/>
        <w:numPr>
          <w:ilvl w:val="1"/>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t xml:space="preserve">UGVCL should also list unapproved sources, if any, from whom power was procured during FY </w:t>
      </w:r>
      <w:proofErr w:type="gramStart"/>
      <w:r w:rsidRPr="00781608">
        <w:rPr>
          <w:rFonts w:asciiTheme="minorHAnsi" w:eastAsia="Times New Roman" w:hAnsiTheme="minorHAnsi" w:cstheme="minorHAnsi"/>
          <w:sz w:val="24"/>
          <w:szCs w:val="24"/>
        </w:rPr>
        <w:t>2020-21;</w:t>
      </w:r>
      <w:proofErr w:type="gramEnd"/>
    </w:p>
    <w:p w14:paraId="18BEB531" w14:textId="77777777" w:rsidR="00334ACA" w:rsidRPr="00781608" w:rsidRDefault="00334ACA" w:rsidP="00E85684">
      <w:pPr>
        <w:pStyle w:val="ListParagraph"/>
        <w:spacing w:line="276" w:lineRule="auto"/>
        <w:ind w:firstLine="720"/>
        <w:jc w:val="both"/>
        <w:rPr>
          <w:rFonts w:asciiTheme="minorHAnsi" w:hAnsiTheme="minorHAnsi" w:cstheme="minorHAnsi"/>
          <w:b/>
          <w:bCs/>
          <w:sz w:val="24"/>
          <w:szCs w:val="24"/>
        </w:rPr>
      </w:pPr>
      <w:r w:rsidRPr="00781608">
        <w:rPr>
          <w:rFonts w:asciiTheme="minorHAnsi" w:hAnsiTheme="minorHAnsi" w:cstheme="minorHAnsi"/>
          <w:b/>
          <w:bCs/>
          <w:sz w:val="24"/>
          <w:szCs w:val="24"/>
        </w:rPr>
        <w:t xml:space="preserve">Compliance: </w:t>
      </w:r>
    </w:p>
    <w:p w14:paraId="6739DFAE" w14:textId="77777777" w:rsidR="00334ACA" w:rsidRPr="00781608" w:rsidRDefault="00334ACA" w:rsidP="00E85684">
      <w:pPr>
        <w:pStyle w:val="ListParagraph"/>
        <w:spacing w:after="120" w:line="276" w:lineRule="auto"/>
        <w:ind w:left="1440"/>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 xml:space="preserve">The Power purchase during FY 2020-21 was from approved sources. Further, Ministry of Power has allocated additional capacity from NTPC on account of </w:t>
      </w:r>
      <w:r w:rsidRPr="00781608">
        <w:rPr>
          <w:rFonts w:asciiTheme="minorHAnsi" w:eastAsia="Times New Roman" w:hAnsiTheme="minorHAnsi" w:cstheme="minorHAnsi"/>
          <w:sz w:val="24"/>
          <w:szCs w:val="24"/>
        </w:rPr>
        <w:lastRenderedPageBreak/>
        <w:t xml:space="preserve">capacity surrendered by other beneficiary States. The tariff for NTPC Generating Stations is determined by Hon’ble CERC.   </w:t>
      </w:r>
    </w:p>
    <w:p w14:paraId="32470FF8" w14:textId="77777777" w:rsidR="00A56DF7" w:rsidRPr="00781608" w:rsidRDefault="00A56DF7" w:rsidP="00E85684">
      <w:pPr>
        <w:pStyle w:val="ydp360db5b4yiv6248630976msolistparagraph"/>
        <w:numPr>
          <w:ilvl w:val="1"/>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t xml:space="preserve">Provide the DISCOM-wise power purchase considered from various sources, as Form 2 submitted by UGVCL summarises the combined power purchase of all 4 State </w:t>
      </w:r>
      <w:proofErr w:type="gramStart"/>
      <w:r w:rsidRPr="00781608">
        <w:rPr>
          <w:rFonts w:asciiTheme="minorHAnsi" w:eastAsia="Times New Roman" w:hAnsiTheme="minorHAnsi" w:cstheme="minorHAnsi"/>
          <w:sz w:val="24"/>
          <w:szCs w:val="24"/>
        </w:rPr>
        <w:t>DISCOMs;</w:t>
      </w:r>
      <w:proofErr w:type="gramEnd"/>
    </w:p>
    <w:p w14:paraId="6B3C7D4D" w14:textId="77777777" w:rsidR="00334ACA" w:rsidRPr="00781608" w:rsidRDefault="00334ACA" w:rsidP="00E85684">
      <w:pPr>
        <w:pStyle w:val="ListParagraph"/>
        <w:spacing w:after="120" w:line="276" w:lineRule="auto"/>
        <w:ind w:firstLine="720"/>
        <w:jc w:val="both"/>
        <w:rPr>
          <w:rFonts w:asciiTheme="minorHAnsi" w:hAnsiTheme="minorHAnsi" w:cstheme="minorHAnsi"/>
          <w:b/>
          <w:bCs/>
          <w:sz w:val="24"/>
          <w:szCs w:val="24"/>
        </w:rPr>
      </w:pPr>
      <w:r w:rsidRPr="00781608">
        <w:rPr>
          <w:rFonts w:asciiTheme="minorHAnsi" w:hAnsiTheme="minorHAnsi" w:cstheme="minorHAnsi"/>
          <w:b/>
          <w:bCs/>
          <w:sz w:val="24"/>
          <w:szCs w:val="24"/>
        </w:rPr>
        <w:t xml:space="preserve">Compliance: </w:t>
      </w:r>
    </w:p>
    <w:p w14:paraId="0A9FD582" w14:textId="77777777" w:rsidR="00B43571" w:rsidRPr="00781608" w:rsidRDefault="00334ACA" w:rsidP="00E85684">
      <w:pPr>
        <w:pStyle w:val="ListParagraph"/>
        <w:spacing w:line="276" w:lineRule="auto"/>
        <w:ind w:left="1440"/>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It is to state that Hon’ble Commission has approved BST Mechanism for allocation of power purchase cost incurred by GUVNL to DISCOMs. Accordingly, power purchase cost for FY 2020-21 is allocated to DISCOMs on bulk supply basis and therefore in Form-2 of the petition, combined power purchase cost incurred by GUVNL is provided.</w:t>
      </w:r>
    </w:p>
    <w:p w14:paraId="30CE8A4F" w14:textId="77777777" w:rsidR="00334ACA" w:rsidRPr="00781608" w:rsidRDefault="00334ACA" w:rsidP="00E85684">
      <w:pPr>
        <w:pStyle w:val="ListParagraph"/>
        <w:spacing w:line="276" w:lineRule="auto"/>
        <w:ind w:left="1440"/>
        <w:jc w:val="both"/>
        <w:rPr>
          <w:rFonts w:asciiTheme="minorHAnsi" w:eastAsia="Times New Roman" w:hAnsiTheme="minorHAnsi" w:cstheme="minorHAnsi"/>
          <w:sz w:val="24"/>
          <w:szCs w:val="24"/>
        </w:rPr>
      </w:pPr>
    </w:p>
    <w:p w14:paraId="7E9CC75F" w14:textId="77777777" w:rsidR="00A56DF7" w:rsidRPr="00781608" w:rsidRDefault="00A56DF7" w:rsidP="00E85684">
      <w:pPr>
        <w:pStyle w:val="ydp360db5b4yiv6248630976msolistparagraph"/>
        <w:numPr>
          <w:ilvl w:val="1"/>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t xml:space="preserve">Details of source-wise purchase from gas-based plants and steps taken to optimise the cost of purchase from gas-based plants. </w:t>
      </w:r>
    </w:p>
    <w:p w14:paraId="5F997D13" w14:textId="77777777" w:rsidR="00334ACA" w:rsidRPr="00781608" w:rsidRDefault="00334ACA" w:rsidP="00E85684">
      <w:pPr>
        <w:pStyle w:val="ListParagraph"/>
        <w:spacing w:after="120" w:line="276" w:lineRule="auto"/>
        <w:ind w:firstLine="720"/>
        <w:jc w:val="both"/>
        <w:rPr>
          <w:rFonts w:asciiTheme="minorHAnsi" w:hAnsiTheme="minorHAnsi" w:cstheme="minorHAnsi"/>
          <w:b/>
          <w:bCs/>
          <w:sz w:val="24"/>
          <w:szCs w:val="24"/>
        </w:rPr>
      </w:pPr>
      <w:r w:rsidRPr="00781608">
        <w:rPr>
          <w:rFonts w:asciiTheme="minorHAnsi" w:hAnsiTheme="minorHAnsi" w:cstheme="minorHAnsi"/>
          <w:b/>
          <w:bCs/>
          <w:sz w:val="24"/>
          <w:szCs w:val="24"/>
        </w:rPr>
        <w:t xml:space="preserve">Compliance: </w:t>
      </w:r>
    </w:p>
    <w:p w14:paraId="1E601B98" w14:textId="77777777" w:rsidR="00334ACA" w:rsidRPr="00781608" w:rsidRDefault="00334ACA" w:rsidP="00E85684">
      <w:pPr>
        <w:pStyle w:val="ListParagraph"/>
        <w:spacing w:after="120" w:line="276" w:lineRule="auto"/>
        <w:ind w:left="1440"/>
        <w:jc w:val="both"/>
        <w:rPr>
          <w:rFonts w:asciiTheme="minorHAnsi" w:hAnsiTheme="minorHAnsi" w:cstheme="minorHAnsi"/>
          <w:sz w:val="24"/>
          <w:szCs w:val="24"/>
        </w:rPr>
      </w:pPr>
      <w:r w:rsidRPr="00781608">
        <w:rPr>
          <w:rFonts w:asciiTheme="minorHAnsi" w:hAnsiTheme="minorHAnsi" w:cstheme="minorHAnsi"/>
          <w:sz w:val="24"/>
          <w:szCs w:val="24"/>
        </w:rPr>
        <w:t>The details of source wise power purchase from Gas based Power project plant during FY 2020-21 are as under:</w:t>
      </w:r>
    </w:p>
    <w:tbl>
      <w:tblPr>
        <w:tblW w:w="7229" w:type="dxa"/>
        <w:tblInd w:w="1555" w:type="dxa"/>
        <w:tblLook w:val="04A0" w:firstRow="1" w:lastRow="0" w:firstColumn="1" w:lastColumn="0" w:noHBand="0" w:noVBand="1"/>
      </w:tblPr>
      <w:tblGrid>
        <w:gridCol w:w="603"/>
        <w:gridCol w:w="4038"/>
        <w:gridCol w:w="936"/>
        <w:gridCol w:w="1652"/>
      </w:tblGrid>
      <w:tr w:rsidR="003C247B" w:rsidRPr="00781608" w14:paraId="190CA618" w14:textId="77777777" w:rsidTr="00E85684">
        <w:trPr>
          <w:trHeight w:val="686"/>
        </w:trPr>
        <w:tc>
          <w:tcPr>
            <w:tcW w:w="60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80F59F4" w14:textId="77777777" w:rsidR="00334ACA" w:rsidRPr="00781608" w:rsidRDefault="00334ACA" w:rsidP="00E85684">
            <w:pPr>
              <w:spacing w:line="276" w:lineRule="auto"/>
              <w:rPr>
                <w:rFonts w:asciiTheme="minorHAnsi" w:eastAsia="Times New Roman" w:hAnsiTheme="minorHAnsi" w:cstheme="minorHAnsi"/>
                <w:b/>
                <w:bCs/>
              </w:rPr>
            </w:pPr>
            <w:r w:rsidRPr="00781608">
              <w:rPr>
                <w:rFonts w:asciiTheme="minorHAnsi" w:eastAsia="Times New Roman" w:hAnsiTheme="minorHAnsi" w:cstheme="minorHAnsi"/>
                <w:b/>
                <w:bCs/>
              </w:rPr>
              <w:t>Sr. No.</w:t>
            </w:r>
          </w:p>
        </w:tc>
        <w:tc>
          <w:tcPr>
            <w:tcW w:w="4038"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2FFAC746" w14:textId="77777777" w:rsidR="00334ACA" w:rsidRPr="00781608" w:rsidRDefault="00334ACA" w:rsidP="00E85684">
            <w:pPr>
              <w:spacing w:line="276" w:lineRule="auto"/>
              <w:rPr>
                <w:rFonts w:asciiTheme="minorHAnsi" w:eastAsia="Times New Roman" w:hAnsiTheme="minorHAnsi" w:cstheme="minorHAnsi"/>
                <w:b/>
                <w:bCs/>
              </w:rPr>
            </w:pPr>
            <w:r w:rsidRPr="00781608">
              <w:rPr>
                <w:rFonts w:asciiTheme="minorHAnsi" w:eastAsia="Times New Roman" w:hAnsiTheme="minorHAnsi" w:cstheme="minorHAnsi"/>
                <w:b/>
                <w:bCs/>
              </w:rPr>
              <w:t>Name of Gas based Power Station</w:t>
            </w:r>
          </w:p>
        </w:tc>
        <w:tc>
          <w:tcPr>
            <w:tcW w:w="936"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42BB95E8" w14:textId="77777777" w:rsidR="00334ACA" w:rsidRPr="00781608" w:rsidRDefault="00334ACA" w:rsidP="00E85684">
            <w:pPr>
              <w:spacing w:line="276" w:lineRule="auto"/>
              <w:jc w:val="center"/>
              <w:rPr>
                <w:rFonts w:asciiTheme="minorHAnsi" w:eastAsia="Times New Roman" w:hAnsiTheme="minorHAnsi" w:cstheme="minorHAnsi"/>
                <w:b/>
                <w:bCs/>
              </w:rPr>
            </w:pPr>
            <w:r w:rsidRPr="00781608">
              <w:rPr>
                <w:rFonts w:asciiTheme="minorHAnsi" w:eastAsia="Times New Roman" w:hAnsiTheme="minorHAnsi" w:cstheme="minorHAnsi"/>
                <w:b/>
                <w:bCs/>
              </w:rPr>
              <w:t>Mus</w:t>
            </w:r>
          </w:p>
        </w:tc>
        <w:tc>
          <w:tcPr>
            <w:tcW w:w="1652"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3172B814" w14:textId="77777777" w:rsidR="00334ACA" w:rsidRPr="00781608" w:rsidRDefault="00334ACA" w:rsidP="00E85684">
            <w:pPr>
              <w:spacing w:line="276" w:lineRule="auto"/>
              <w:jc w:val="center"/>
              <w:rPr>
                <w:rFonts w:asciiTheme="minorHAnsi" w:eastAsia="Times New Roman" w:hAnsiTheme="minorHAnsi" w:cstheme="minorHAnsi"/>
                <w:b/>
                <w:bCs/>
              </w:rPr>
            </w:pPr>
            <w:r w:rsidRPr="00781608">
              <w:rPr>
                <w:rFonts w:asciiTheme="minorHAnsi" w:eastAsia="Times New Roman" w:hAnsiTheme="minorHAnsi" w:cstheme="minorHAnsi"/>
                <w:b/>
                <w:bCs/>
              </w:rPr>
              <w:t>Variable Cost (</w:t>
            </w:r>
            <w:proofErr w:type="gramStart"/>
            <w:r w:rsidRPr="00781608">
              <w:rPr>
                <w:rFonts w:asciiTheme="minorHAnsi" w:eastAsia="Times New Roman" w:hAnsiTheme="minorHAnsi" w:cstheme="minorHAnsi"/>
                <w:b/>
                <w:bCs/>
              </w:rPr>
              <w:t>Rs./</w:t>
            </w:r>
            <w:proofErr w:type="gramEnd"/>
            <w:r w:rsidRPr="00781608">
              <w:rPr>
                <w:rFonts w:asciiTheme="minorHAnsi" w:eastAsia="Times New Roman" w:hAnsiTheme="minorHAnsi" w:cstheme="minorHAnsi"/>
                <w:b/>
                <w:bCs/>
              </w:rPr>
              <w:t>Unit)</w:t>
            </w:r>
          </w:p>
        </w:tc>
      </w:tr>
      <w:tr w:rsidR="003C247B" w:rsidRPr="00781608" w14:paraId="08CD53C2" w14:textId="77777777" w:rsidTr="00E85684">
        <w:trPr>
          <w:trHeight w:val="288"/>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154C9D7F" w14:textId="77777777" w:rsidR="00334ACA" w:rsidRPr="00781608" w:rsidRDefault="00334ACA"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1</w:t>
            </w:r>
          </w:p>
        </w:tc>
        <w:tc>
          <w:tcPr>
            <w:tcW w:w="4038" w:type="dxa"/>
            <w:tcBorders>
              <w:top w:val="nil"/>
              <w:left w:val="nil"/>
              <w:bottom w:val="single" w:sz="4" w:space="0" w:color="auto"/>
              <w:right w:val="single" w:sz="4" w:space="0" w:color="auto"/>
            </w:tcBorders>
            <w:shd w:val="clear" w:color="auto" w:fill="auto"/>
            <w:vAlign w:val="center"/>
            <w:hideMark/>
          </w:tcPr>
          <w:p w14:paraId="3742BC25" w14:textId="5A21A174" w:rsidR="00334ACA" w:rsidRPr="00781608" w:rsidRDefault="00334ACA"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 xml:space="preserve">GSECL </w:t>
            </w:r>
            <w:proofErr w:type="spellStart"/>
            <w:r w:rsidRPr="00781608">
              <w:rPr>
                <w:rFonts w:asciiTheme="minorHAnsi" w:eastAsia="Times New Roman" w:hAnsiTheme="minorHAnsi" w:cstheme="minorHAnsi"/>
              </w:rPr>
              <w:t>Utran</w:t>
            </w:r>
            <w:proofErr w:type="spellEnd"/>
            <w:r w:rsidR="00B67C7A" w:rsidRPr="00781608">
              <w:rPr>
                <w:rFonts w:asciiTheme="minorHAnsi" w:eastAsia="Times New Roman" w:hAnsiTheme="minorHAnsi" w:cstheme="minorHAnsi"/>
              </w:rPr>
              <w:t xml:space="preserve"> </w:t>
            </w:r>
            <w:r w:rsidRPr="00781608">
              <w:rPr>
                <w:rFonts w:asciiTheme="minorHAnsi" w:eastAsia="Times New Roman" w:hAnsiTheme="minorHAnsi" w:cstheme="minorHAnsi"/>
              </w:rPr>
              <w:t>Expan</w:t>
            </w:r>
            <w:r w:rsidR="00B67C7A" w:rsidRPr="00781608">
              <w:rPr>
                <w:rFonts w:asciiTheme="minorHAnsi" w:eastAsia="Times New Roman" w:hAnsiTheme="minorHAnsi" w:cstheme="minorHAnsi"/>
              </w:rPr>
              <w:t>sion</w:t>
            </w:r>
          </w:p>
        </w:tc>
        <w:tc>
          <w:tcPr>
            <w:tcW w:w="936" w:type="dxa"/>
            <w:tcBorders>
              <w:top w:val="nil"/>
              <w:left w:val="nil"/>
              <w:bottom w:val="single" w:sz="4" w:space="0" w:color="auto"/>
              <w:right w:val="single" w:sz="4" w:space="0" w:color="auto"/>
            </w:tcBorders>
            <w:shd w:val="clear" w:color="auto" w:fill="auto"/>
            <w:vAlign w:val="center"/>
            <w:hideMark/>
          </w:tcPr>
          <w:p w14:paraId="1638BB53" w14:textId="77777777" w:rsidR="00334ACA" w:rsidRPr="00781608" w:rsidRDefault="00334ACA"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1724</w:t>
            </w:r>
          </w:p>
        </w:tc>
        <w:tc>
          <w:tcPr>
            <w:tcW w:w="1652" w:type="dxa"/>
            <w:tcBorders>
              <w:top w:val="nil"/>
              <w:left w:val="nil"/>
              <w:bottom w:val="single" w:sz="4" w:space="0" w:color="auto"/>
              <w:right w:val="single" w:sz="4" w:space="0" w:color="auto"/>
            </w:tcBorders>
            <w:shd w:val="clear" w:color="auto" w:fill="auto"/>
            <w:vAlign w:val="center"/>
            <w:hideMark/>
          </w:tcPr>
          <w:p w14:paraId="19771780" w14:textId="77777777" w:rsidR="00334ACA" w:rsidRPr="00781608" w:rsidRDefault="00334ACA"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2.84</w:t>
            </w:r>
          </w:p>
        </w:tc>
      </w:tr>
      <w:tr w:rsidR="003C247B" w:rsidRPr="00781608" w14:paraId="21807403" w14:textId="77777777" w:rsidTr="00E85684">
        <w:trPr>
          <w:trHeight w:val="288"/>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4812ED2D" w14:textId="77777777" w:rsidR="00334ACA" w:rsidRPr="00781608" w:rsidRDefault="00334ACA"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2</w:t>
            </w:r>
          </w:p>
        </w:tc>
        <w:tc>
          <w:tcPr>
            <w:tcW w:w="4038" w:type="dxa"/>
            <w:tcBorders>
              <w:top w:val="nil"/>
              <w:left w:val="nil"/>
              <w:bottom w:val="single" w:sz="4" w:space="0" w:color="auto"/>
              <w:right w:val="single" w:sz="4" w:space="0" w:color="auto"/>
            </w:tcBorders>
            <w:shd w:val="clear" w:color="auto" w:fill="auto"/>
            <w:vAlign w:val="center"/>
            <w:hideMark/>
          </w:tcPr>
          <w:p w14:paraId="1921BDED" w14:textId="77777777" w:rsidR="00334ACA" w:rsidRPr="00781608" w:rsidRDefault="00334ACA"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 xml:space="preserve">GSECL </w:t>
            </w:r>
            <w:proofErr w:type="spellStart"/>
            <w:r w:rsidRPr="00781608">
              <w:rPr>
                <w:rFonts w:asciiTheme="minorHAnsi" w:eastAsia="Times New Roman" w:hAnsiTheme="minorHAnsi" w:cstheme="minorHAnsi"/>
              </w:rPr>
              <w:t>Dhuvaran</w:t>
            </w:r>
            <w:proofErr w:type="spellEnd"/>
            <w:r w:rsidRPr="00781608">
              <w:rPr>
                <w:rFonts w:asciiTheme="minorHAnsi" w:eastAsia="Times New Roman" w:hAnsiTheme="minorHAnsi" w:cstheme="minorHAnsi"/>
              </w:rPr>
              <w:t xml:space="preserve"> – 7</w:t>
            </w:r>
          </w:p>
        </w:tc>
        <w:tc>
          <w:tcPr>
            <w:tcW w:w="936" w:type="dxa"/>
            <w:tcBorders>
              <w:top w:val="nil"/>
              <w:left w:val="nil"/>
              <w:bottom w:val="single" w:sz="4" w:space="0" w:color="auto"/>
              <w:right w:val="single" w:sz="4" w:space="0" w:color="auto"/>
            </w:tcBorders>
            <w:shd w:val="clear" w:color="auto" w:fill="auto"/>
            <w:vAlign w:val="center"/>
            <w:hideMark/>
          </w:tcPr>
          <w:p w14:paraId="3E7FFA20" w14:textId="77777777" w:rsidR="00334ACA" w:rsidRPr="00781608" w:rsidRDefault="00334ACA"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325</w:t>
            </w:r>
          </w:p>
        </w:tc>
        <w:tc>
          <w:tcPr>
            <w:tcW w:w="1652" w:type="dxa"/>
            <w:tcBorders>
              <w:top w:val="nil"/>
              <w:left w:val="nil"/>
              <w:bottom w:val="single" w:sz="4" w:space="0" w:color="auto"/>
              <w:right w:val="single" w:sz="4" w:space="0" w:color="auto"/>
            </w:tcBorders>
            <w:shd w:val="clear" w:color="auto" w:fill="auto"/>
            <w:vAlign w:val="center"/>
            <w:hideMark/>
          </w:tcPr>
          <w:p w14:paraId="4EAB6CF9" w14:textId="77777777" w:rsidR="00334ACA" w:rsidRPr="00781608" w:rsidRDefault="00334ACA"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2.64</w:t>
            </w:r>
          </w:p>
        </w:tc>
      </w:tr>
      <w:tr w:rsidR="003C247B" w:rsidRPr="00781608" w14:paraId="411C4D3E" w14:textId="77777777" w:rsidTr="00E85684">
        <w:trPr>
          <w:trHeight w:val="288"/>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57EF4B9D" w14:textId="77777777" w:rsidR="00334ACA" w:rsidRPr="00781608" w:rsidRDefault="00334ACA"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3</w:t>
            </w:r>
          </w:p>
        </w:tc>
        <w:tc>
          <w:tcPr>
            <w:tcW w:w="4038" w:type="dxa"/>
            <w:tcBorders>
              <w:top w:val="nil"/>
              <w:left w:val="nil"/>
              <w:bottom w:val="single" w:sz="4" w:space="0" w:color="auto"/>
              <w:right w:val="single" w:sz="4" w:space="0" w:color="auto"/>
            </w:tcBorders>
            <w:shd w:val="clear" w:color="auto" w:fill="auto"/>
            <w:vAlign w:val="center"/>
            <w:hideMark/>
          </w:tcPr>
          <w:p w14:paraId="1234AC8A" w14:textId="77777777" w:rsidR="00334ACA" w:rsidRPr="00781608" w:rsidRDefault="00334ACA"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 xml:space="preserve">GSECL </w:t>
            </w:r>
            <w:proofErr w:type="spellStart"/>
            <w:r w:rsidRPr="00781608">
              <w:rPr>
                <w:rFonts w:asciiTheme="minorHAnsi" w:eastAsia="Times New Roman" w:hAnsiTheme="minorHAnsi" w:cstheme="minorHAnsi"/>
              </w:rPr>
              <w:t>Dhuvaran</w:t>
            </w:r>
            <w:proofErr w:type="spellEnd"/>
            <w:r w:rsidRPr="00781608">
              <w:rPr>
                <w:rFonts w:asciiTheme="minorHAnsi" w:eastAsia="Times New Roman" w:hAnsiTheme="minorHAnsi" w:cstheme="minorHAnsi"/>
              </w:rPr>
              <w:t xml:space="preserve"> – 8</w:t>
            </w:r>
          </w:p>
        </w:tc>
        <w:tc>
          <w:tcPr>
            <w:tcW w:w="936" w:type="dxa"/>
            <w:tcBorders>
              <w:top w:val="nil"/>
              <w:left w:val="nil"/>
              <w:bottom w:val="single" w:sz="4" w:space="0" w:color="auto"/>
              <w:right w:val="single" w:sz="4" w:space="0" w:color="auto"/>
            </w:tcBorders>
            <w:shd w:val="clear" w:color="auto" w:fill="auto"/>
            <w:vAlign w:val="center"/>
            <w:hideMark/>
          </w:tcPr>
          <w:p w14:paraId="09CBF032" w14:textId="77777777" w:rsidR="00334ACA" w:rsidRPr="00781608" w:rsidRDefault="00334ACA"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325</w:t>
            </w:r>
          </w:p>
        </w:tc>
        <w:tc>
          <w:tcPr>
            <w:tcW w:w="1652" w:type="dxa"/>
            <w:tcBorders>
              <w:top w:val="nil"/>
              <w:left w:val="nil"/>
              <w:bottom w:val="single" w:sz="4" w:space="0" w:color="auto"/>
              <w:right w:val="single" w:sz="4" w:space="0" w:color="auto"/>
            </w:tcBorders>
            <w:shd w:val="clear" w:color="auto" w:fill="auto"/>
            <w:vAlign w:val="center"/>
            <w:hideMark/>
          </w:tcPr>
          <w:p w14:paraId="6FCA5B45" w14:textId="77777777" w:rsidR="00334ACA" w:rsidRPr="00781608" w:rsidRDefault="00334ACA"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2.91</w:t>
            </w:r>
          </w:p>
        </w:tc>
      </w:tr>
      <w:tr w:rsidR="003C247B" w:rsidRPr="00781608" w14:paraId="18DCDBA7" w14:textId="77777777" w:rsidTr="00E85684">
        <w:trPr>
          <w:trHeight w:val="288"/>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75CC2201" w14:textId="77777777" w:rsidR="00334ACA" w:rsidRPr="00781608" w:rsidRDefault="00334ACA"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4</w:t>
            </w:r>
          </w:p>
        </w:tc>
        <w:tc>
          <w:tcPr>
            <w:tcW w:w="4038" w:type="dxa"/>
            <w:tcBorders>
              <w:top w:val="nil"/>
              <w:left w:val="nil"/>
              <w:bottom w:val="single" w:sz="4" w:space="0" w:color="auto"/>
              <w:right w:val="single" w:sz="4" w:space="0" w:color="auto"/>
            </w:tcBorders>
            <w:shd w:val="clear" w:color="auto" w:fill="auto"/>
            <w:vAlign w:val="center"/>
            <w:hideMark/>
          </w:tcPr>
          <w:p w14:paraId="33418271" w14:textId="77777777" w:rsidR="00334ACA" w:rsidRPr="00781608" w:rsidRDefault="00334ACA"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 xml:space="preserve">GSECL </w:t>
            </w:r>
            <w:proofErr w:type="spellStart"/>
            <w:r w:rsidRPr="00781608">
              <w:rPr>
                <w:rFonts w:asciiTheme="minorHAnsi" w:eastAsia="Times New Roman" w:hAnsiTheme="minorHAnsi" w:cstheme="minorHAnsi"/>
              </w:rPr>
              <w:t>Dhuvaran</w:t>
            </w:r>
            <w:proofErr w:type="spellEnd"/>
            <w:r w:rsidRPr="00781608">
              <w:rPr>
                <w:rFonts w:asciiTheme="minorHAnsi" w:eastAsia="Times New Roman" w:hAnsiTheme="minorHAnsi" w:cstheme="minorHAnsi"/>
              </w:rPr>
              <w:t xml:space="preserve"> CCPP III</w:t>
            </w:r>
          </w:p>
        </w:tc>
        <w:tc>
          <w:tcPr>
            <w:tcW w:w="936" w:type="dxa"/>
            <w:tcBorders>
              <w:top w:val="nil"/>
              <w:left w:val="nil"/>
              <w:bottom w:val="single" w:sz="4" w:space="0" w:color="auto"/>
              <w:right w:val="single" w:sz="4" w:space="0" w:color="auto"/>
            </w:tcBorders>
            <w:shd w:val="clear" w:color="auto" w:fill="auto"/>
            <w:vAlign w:val="center"/>
            <w:hideMark/>
          </w:tcPr>
          <w:p w14:paraId="7335E91D" w14:textId="77777777" w:rsidR="00334ACA" w:rsidRPr="00781608" w:rsidRDefault="00334ACA"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937</w:t>
            </w:r>
          </w:p>
        </w:tc>
        <w:tc>
          <w:tcPr>
            <w:tcW w:w="1652" w:type="dxa"/>
            <w:tcBorders>
              <w:top w:val="nil"/>
              <w:left w:val="nil"/>
              <w:bottom w:val="single" w:sz="4" w:space="0" w:color="auto"/>
              <w:right w:val="single" w:sz="4" w:space="0" w:color="auto"/>
            </w:tcBorders>
            <w:shd w:val="clear" w:color="auto" w:fill="auto"/>
            <w:vAlign w:val="center"/>
            <w:hideMark/>
          </w:tcPr>
          <w:p w14:paraId="763CE2FC" w14:textId="77777777" w:rsidR="00334ACA" w:rsidRPr="00781608" w:rsidRDefault="00334ACA"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2.91</w:t>
            </w:r>
          </w:p>
        </w:tc>
      </w:tr>
      <w:tr w:rsidR="003C247B" w:rsidRPr="00781608" w14:paraId="052C9987" w14:textId="77777777" w:rsidTr="00E85684">
        <w:trPr>
          <w:trHeight w:val="288"/>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6BE3641E" w14:textId="77777777" w:rsidR="00334ACA" w:rsidRPr="00781608" w:rsidRDefault="00334ACA"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5</w:t>
            </w:r>
          </w:p>
        </w:tc>
        <w:tc>
          <w:tcPr>
            <w:tcW w:w="4038" w:type="dxa"/>
            <w:tcBorders>
              <w:top w:val="nil"/>
              <w:left w:val="nil"/>
              <w:bottom w:val="single" w:sz="4" w:space="0" w:color="auto"/>
              <w:right w:val="single" w:sz="4" w:space="0" w:color="auto"/>
            </w:tcBorders>
            <w:shd w:val="clear" w:color="auto" w:fill="auto"/>
            <w:vAlign w:val="center"/>
            <w:hideMark/>
          </w:tcPr>
          <w:p w14:paraId="0D84B38F" w14:textId="77777777" w:rsidR="00334ACA" w:rsidRPr="00781608" w:rsidRDefault="00334ACA"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Gujarat State Energy Generation</w:t>
            </w:r>
          </w:p>
        </w:tc>
        <w:tc>
          <w:tcPr>
            <w:tcW w:w="936" w:type="dxa"/>
            <w:tcBorders>
              <w:top w:val="nil"/>
              <w:left w:val="nil"/>
              <w:bottom w:val="single" w:sz="4" w:space="0" w:color="auto"/>
              <w:right w:val="single" w:sz="4" w:space="0" w:color="auto"/>
            </w:tcBorders>
            <w:shd w:val="clear" w:color="auto" w:fill="auto"/>
            <w:vAlign w:val="center"/>
            <w:hideMark/>
          </w:tcPr>
          <w:p w14:paraId="36E934B7" w14:textId="77777777" w:rsidR="00334ACA" w:rsidRPr="00781608" w:rsidRDefault="00334ACA"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383</w:t>
            </w:r>
          </w:p>
        </w:tc>
        <w:tc>
          <w:tcPr>
            <w:tcW w:w="1652" w:type="dxa"/>
            <w:tcBorders>
              <w:top w:val="nil"/>
              <w:left w:val="nil"/>
              <w:bottom w:val="single" w:sz="4" w:space="0" w:color="auto"/>
              <w:right w:val="single" w:sz="4" w:space="0" w:color="auto"/>
            </w:tcBorders>
            <w:shd w:val="clear" w:color="auto" w:fill="auto"/>
            <w:vAlign w:val="center"/>
            <w:hideMark/>
          </w:tcPr>
          <w:p w14:paraId="2B981A10" w14:textId="77777777" w:rsidR="00334ACA" w:rsidRPr="00781608" w:rsidRDefault="00334ACA"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3.00</w:t>
            </w:r>
          </w:p>
        </w:tc>
      </w:tr>
      <w:tr w:rsidR="003C247B" w:rsidRPr="00781608" w14:paraId="101AA88E" w14:textId="77777777" w:rsidTr="00E85684">
        <w:trPr>
          <w:trHeight w:val="288"/>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1B0A8EFC" w14:textId="77777777" w:rsidR="00334ACA" w:rsidRPr="00781608" w:rsidRDefault="00334ACA"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6</w:t>
            </w:r>
          </w:p>
        </w:tc>
        <w:tc>
          <w:tcPr>
            <w:tcW w:w="4038" w:type="dxa"/>
            <w:tcBorders>
              <w:top w:val="nil"/>
              <w:left w:val="nil"/>
              <w:bottom w:val="single" w:sz="4" w:space="0" w:color="auto"/>
              <w:right w:val="single" w:sz="4" w:space="0" w:color="auto"/>
            </w:tcBorders>
            <w:shd w:val="clear" w:color="auto" w:fill="auto"/>
            <w:vAlign w:val="center"/>
            <w:hideMark/>
          </w:tcPr>
          <w:p w14:paraId="7F1C2333" w14:textId="77777777" w:rsidR="00334ACA" w:rsidRPr="00781608" w:rsidRDefault="00334ACA"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Gujarat State Energy Generation Expansion</w:t>
            </w:r>
          </w:p>
        </w:tc>
        <w:tc>
          <w:tcPr>
            <w:tcW w:w="936" w:type="dxa"/>
            <w:tcBorders>
              <w:top w:val="nil"/>
              <w:left w:val="nil"/>
              <w:bottom w:val="single" w:sz="4" w:space="0" w:color="auto"/>
              <w:right w:val="single" w:sz="4" w:space="0" w:color="auto"/>
            </w:tcBorders>
            <w:shd w:val="clear" w:color="auto" w:fill="auto"/>
            <w:vAlign w:val="center"/>
            <w:hideMark/>
          </w:tcPr>
          <w:p w14:paraId="757F4A91" w14:textId="77777777" w:rsidR="00334ACA" w:rsidRPr="00781608" w:rsidRDefault="00334ACA"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1265</w:t>
            </w:r>
          </w:p>
        </w:tc>
        <w:tc>
          <w:tcPr>
            <w:tcW w:w="1652" w:type="dxa"/>
            <w:tcBorders>
              <w:top w:val="nil"/>
              <w:left w:val="nil"/>
              <w:bottom w:val="single" w:sz="4" w:space="0" w:color="auto"/>
              <w:right w:val="single" w:sz="4" w:space="0" w:color="auto"/>
            </w:tcBorders>
            <w:shd w:val="clear" w:color="auto" w:fill="auto"/>
            <w:vAlign w:val="center"/>
            <w:hideMark/>
          </w:tcPr>
          <w:p w14:paraId="2F5CA45F" w14:textId="77777777" w:rsidR="00334ACA" w:rsidRPr="00781608" w:rsidRDefault="00334ACA"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2.79</w:t>
            </w:r>
          </w:p>
        </w:tc>
      </w:tr>
      <w:tr w:rsidR="003C247B" w:rsidRPr="00781608" w14:paraId="34BB7C92" w14:textId="77777777" w:rsidTr="00E85684">
        <w:trPr>
          <w:trHeight w:val="288"/>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69C11378" w14:textId="77777777" w:rsidR="00334ACA" w:rsidRPr="00781608" w:rsidRDefault="00334ACA"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7</w:t>
            </w:r>
          </w:p>
        </w:tc>
        <w:tc>
          <w:tcPr>
            <w:tcW w:w="4038" w:type="dxa"/>
            <w:tcBorders>
              <w:top w:val="nil"/>
              <w:left w:val="nil"/>
              <w:bottom w:val="single" w:sz="4" w:space="0" w:color="auto"/>
              <w:right w:val="single" w:sz="4" w:space="0" w:color="auto"/>
            </w:tcBorders>
            <w:shd w:val="clear" w:color="auto" w:fill="auto"/>
            <w:vAlign w:val="center"/>
            <w:hideMark/>
          </w:tcPr>
          <w:p w14:paraId="2F14D22A" w14:textId="77777777" w:rsidR="00334ACA" w:rsidRPr="00781608" w:rsidRDefault="00334ACA"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Gujarat Industries Power Co Ltd (165 MW)</w:t>
            </w:r>
          </w:p>
        </w:tc>
        <w:tc>
          <w:tcPr>
            <w:tcW w:w="936" w:type="dxa"/>
            <w:tcBorders>
              <w:top w:val="nil"/>
              <w:left w:val="nil"/>
              <w:bottom w:val="single" w:sz="4" w:space="0" w:color="auto"/>
              <w:right w:val="single" w:sz="4" w:space="0" w:color="auto"/>
            </w:tcBorders>
            <w:shd w:val="clear" w:color="auto" w:fill="auto"/>
            <w:vAlign w:val="center"/>
            <w:hideMark/>
          </w:tcPr>
          <w:p w14:paraId="4CCF5A7E" w14:textId="77777777" w:rsidR="00334ACA" w:rsidRPr="00781608" w:rsidRDefault="00334ACA"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18</w:t>
            </w:r>
          </w:p>
        </w:tc>
        <w:tc>
          <w:tcPr>
            <w:tcW w:w="1652" w:type="dxa"/>
            <w:tcBorders>
              <w:top w:val="nil"/>
              <w:left w:val="nil"/>
              <w:bottom w:val="single" w:sz="4" w:space="0" w:color="auto"/>
              <w:right w:val="single" w:sz="4" w:space="0" w:color="auto"/>
            </w:tcBorders>
            <w:shd w:val="clear" w:color="auto" w:fill="auto"/>
            <w:vAlign w:val="center"/>
            <w:hideMark/>
          </w:tcPr>
          <w:p w14:paraId="49CF6751" w14:textId="77777777" w:rsidR="00334ACA" w:rsidRPr="00781608" w:rsidRDefault="00334ACA"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3.54</w:t>
            </w:r>
          </w:p>
        </w:tc>
      </w:tr>
      <w:tr w:rsidR="003C247B" w:rsidRPr="00781608" w14:paraId="15E91F7A" w14:textId="77777777" w:rsidTr="00E85684">
        <w:trPr>
          <w:trHeight w:val="288"/>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17A6C755" w14:textId="77777777" w:rsidR="00334ACA" w:rsidRPr="00781608" w:rsidRDefault="00334ACA"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8</w:t>
            </w:r>
          </w:p>
        </w:tc>
        <w:tc>
          <w:tcPr>
            <w:tcW w:w="4038" w:type="dxa"/>
            <w:tcBorders>
              <w:top w:val="nil"/>
              <w:left w:val="nil"/>
              <w:bottom w:val="single" w:sz="4" w:space="0" w:color="auto"/>
              <w:right w:val="single" w:sz="4" w:space="0" w:color="auto"/>
            </w:tcBorders>
            <w:shd w:val="clear" w:color="auto" w:fill="auto"/>
            <w:vAlign w:val="center"/>
            <w:hideMark/>
          </w:tcPr>
          <w:p w14:paraId="7439B6A2" w14:textId="77777777" w:rsidR="00334ACA" w:rsidRPr="00781608" w:rsidRDefault="00334ACA"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Gujarat Industries Power Co Ltd (145 MW)</w:t>
            </w:r>
          </w:p>
        </w:tc>
        <w:tc>
          <w:tcPr>
            <w:tcW w:w="936" w:type="dxa"/>
            <w:tcBorders>
              <w:top w:val="nil"/>
              <w:left w:val="nil"/>
              <w:bottom w:val="single" w:sz="4" w:space="0" w:color="auto"/>
              <w:right w:val="single" w:sz="4" w:space="0" w:color="auto"/>
            </w:tcBorders>
            <w:shd w:val="clear" w:color="auto" w:fill="auto"/>
            <w:vAlign w:val="center"/>
            <w:hideMark/>
          </w:tcPr>
          <w:p w14:paraId="65204BE0" w14:textId="77777777" w:rsidR="00334ACA" w:rsidRPr="00781608" w:rsidRDefault="00334ACA"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96</w:t>
            </w:r>
          </w:p>
        </w:tc>
        <w:tc>
          <w:tcPr>
            <w:tcW w:w="1652" w:type="dxa"/>
            <w:tcBorders>
              <w:top w:val="nil"/>
              <w:left w:val="nil"/>
              <w:bottom w:val="single" w:sz="4" w:space="0" w:color="auto"/>
              <w:right w:val="single" w:sz="4" w:space="0" w:color="auto"/>
            </w:tcBorders>
            <w:shd w:val="clear" w:color="auto" w:fill="auto"/>
            <w:vAlign w:val="center"/>
            <w:hideMark/>
          </w:tcPr>
          <w:p w14:paraId="230BC74A" w14:textId="77777777" w:rsidR="00334ACA" w:rsidRPr="00781608" w:rsidRDefault="00334ACA"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2.21</w:t>
            </w:r>
          </w:p>
        </w:tc>
      </w:tr>
      <w:tr w:rsidR="003C247B" w:rsidRPr="00781608" w14:paraId="60499F0B" w14:textId="77777777" w:rsidTr="00E85684">
        <w:trPr>
          <w:trHeight w:val="288"/>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2B694AA3" w14:textId="77777777" w:rsidR="00334ACA" w:rsidRPr="00781608" w:rsidRDefault="00334ACA"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9</w:t>
            </w:r>
          </w:p>
        </w:tc>
        <w:tc>
          <w:tcPr>
            <w:tcW w:w="4038" w:type="dxa"/>
            <w:tcBorders>
              <w:top w:val="nil"/>
              <w:left w:val="nil"/>
              <w:bottom w:val="single" w:sz="4" w:space="0" w:color="auto"/>
              <w:right w:val="single" w:sz="4" w:space="0" w:color="auto"/>
            </w:tcBorders>
            <w:shd w:val="clear" w:color="auto" w:fill="auto"/>
            <w:vAlign w:val="center"/>
            <w:hideMark/>
          </w:tcPr>
          <w:p w14:paraId="0161155A" w14:textId="77777777" w:rsidR="00334ACA" w:rsidRPr="00781608" w:rsidRDefault="00334ACA"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GPPC Pipavav</w:t>
            </w:r>
          </w:p>
        </w:tc>
        <w:tc>
          <w:tcPr>
            <w:tcW w:w="936" w:type="dxa"/>
            <w:tcBorders>
              <w:top w:val="nil"/>
              <w:left w:val="nil"/>
              <w:bottom w:val="single" w:sz="4" w:space="0" w:color="auto"/>
              <w:right w:val="single" w:sz="4" w:space="0" w:color="auto"/>
            </w:tcBorders>
            <w:shd w:val="clear" w:color="auto" w:fill="auto"/>
            <w:vAlign w:val="center"/>
            <w:hideMark/>
          </w:tcPr>
          <w:p w14:paraId="047CD1C6" w14:textId="77777777" w:rsidR="00334ACA" w:rsidRPr="00781608" w:rsidRDefault="00334ACA"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2677</w:t>
            </w:r>
          </w:p>
        </w:tc>
        <w:tc>
          <w:tcPr>
            <w:tcW w:w="1652" w:type="dxa"/>
            <w:tcBorders>
              <w:top w:val="nil"/>
              <w:left w:val="nil"/>
              <w:bottom w:val="single" w:sz="4" w:space="0" w:color="auto"/>
              <w:right w:val="single" w:sz="4" w:space="0" w:color="auto"/>
            </w:tcBorders>
            <w:shd w:val="clear" w:color="auto" w:fill="auto"/>
            <w:vAlign w:val="center"/>
            <w:hideMark/>
          </w:tcPr>
          <w:p w14:paraId="4388559F" w14:textId="77777777" w:rsidR="00334ACA" w:rsidRPr="00781608" w:rsidRDefault="00334ACA"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2.79</w:t>
            </w:r>
          </w:p>
        </w:tc>
      </w:tr>
      <w:tr w:rsidR="003C247B" w:rsidRPr="00781608" w14:paraId="3E144EA9" w14:textId="77777777" w:rsidTr="00E85684">
        <w:trPr>
          <w:trHeight w:val="288"/>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03674144" w14:textId="77777777" w:rsidR="00334ACA" w:rsidRPr="00781608" w:rsidRDefault="00334ACA"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10</w:t>
            </w:r>
          </w:p>
        </w:tc>
        <w:tc>
          <w:tcPr>
            <w:tcW w:w="4038" w:type="dxa"/>
            <w:tcBorders>
              <w:top w:val="nil"/>
              <w:left w:val="nil"/>
              <w:bottom w:val="single" w:sz="4" w:space="0" w:color="auto"/>
              <w:right w:val="single" w:sz="4" w:space="0" w:color="auto"/>
            </w:tcBorders>
            <w:shd w:val="clear" w:color="auto" w:fill="auto"/>
            <w:vAlign w:val="center"/>
            <w:hideMark/>
          </w:tcPr>
          <w:p w14:paraId="2B3F8022" w14:textId="77777777" w:rsidR="00334ACA" w:rsidRPr="00781608" w:rsidRDefault="00334ACA"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NTPC-Kawas</w:t>
            </w:r>
          </w:p>
        </w:tc>
        <w:tc>
          <w:tcPr>
            <w:tcW w:w="936" w:type="dxa"/>
            <w:tcBorders>
              <w:top w:val="nil"/>
              <w:left w:val="nil"/>
              <w:bottom w:val="single" w:sz="4" w:space="0" w:color="auto"/>
              <w:right w:val="single" w:sz="4" w:space="0" w:color="auto"/>
            </w:tcBorders>
            <w:shd w:val="clear" w:color="auto" w:fill="auto"/>
            <w:vAlign w:val="center"/>
            <w:hideMark/>
          </w:tcPr>
          <w:p w14:paraId="3E235532" w14:textId="77777777" w:rsidR="00334ACA" w:rsidRPr="00781608" w:rsidRDefault="00334ACA"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351</w:t>
            </w:r>
          </w:p>
        </w:tc>
        <w:tc>
          <w:tcPr>
            <w:tcW w:w="1652" w:type="dxa"/>
            <w:tcBorders>
              <w:top w:val="nil"/>
              <w:left w:val="nil"/>
              <w:bottom w:val="single" w:sz="4" w:space="0" w:color="auto"/>
              <w:right w:val="single" w:sz="4" w:space="0" w:color="auto"/>
            </w:tcBorders>
            <w:shd w:val="clear" w:color="auto" w:fill="auto"/>
            <w:vAlign w:val="center"/>
            <w:hideMark/>
          </w:tcPr>
          <w:p w14:paraId="6C882585" w14:textId="77777777" w:rsidR="00334ACA" w:rsidRPr="00781608" w:rsidRDefault="00334ACA"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2.11</w:t>
            </w:r>
          </w:p>
        </w:tc>
      </w:tr>
      <w:tr w:rsidR="003C247B" w:rsidRPr="00781608" w14:paraId="6924EFEC" w14:textId="77777777" w:rsidTr="00E85684">
        <w:trPr>
          <w:trHeight w:val="288"/>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2C1A803D" w14:textId="77777777" w:rsidR="00334ACA" w:rsidRPr="00781608" w:rsidRDefault="00334ACA"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11</w:t>
            </w:r>
          </w:p>
        </w:tc>
        <w:tc>
          <w:tcPr>
            <w:tcW w:w="4038" w:type="dxa"/>
            <w:tcBorders>
              <w:top w:val="nil"/>
              <w:left w:val="nil"/>
              <w:bottom w:val="single" w:sz="4" w:space="0" w:color="auto"/>
              <w:right w:val="single" w:sz="4" w:space="0" w:color="auto"/>
            </w:tcBorders>
            <w:shd w:val="clear" w:color="auto" w:fill="auto"/>
            <w:vAlign w:val="center"/>
            <w:hideMark/>
          </w:tcPr>
          <w:p w14:paraId="0FB66BA5" w14:textId="77777777" w:rsidR="00334ACA" w:rsidRPr="00781608" w:rsidRDefault="00334ACA"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NTPC-</w:t>
            </w:r>
            <w:proofErr w:type="spellStart"/>
            <w:r w:rsidRPr="00781608">
              <w:rPr>
                <w:rFonts w:asciiTheme="minorHAnsi" w:eastAsia="Times New Roman" w:hAnsiTheme="minorHAnsi" w:cstheme="minorHAnsi"/>
              </w:rPr>
              <w:t>Jhanor</w:t>
            </w:r>
            <w:proofErr w:type="spellEnd"/>
          </w:p>
        </w:tc>
        <w:tc>
          <w:tcPr>
            <w:tcW w:w="936" w:type="dxa"/>
            <w:tcBorders>
              <w:top w:val="nil"/>
              <w:left w:val="nil"/>
              <w:bottom w:val="single" w:sz="4" w:space="0" w:color="auto"/>
              <w:right w:val="single" w:sz="4" w:space="0" w:color="auto"/>
            </w:tcBorders>
            <w:shd w:val="clear" w:color="auto" w:fill="auto"/>
            <w:vAlign w:val="center"/>
            <w:hideMark/>
          </w:tcPr>
          <w:p w14:paraId="644C575B" w14:textId="77777777" w:rsidR="00334ACA" w:rsidRPr="00781608" w:rsidRDefault="00334ACA"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345</w:t>
            </w:r>
          </w:p>
        </w:tc>
        <w:tc>
          <w:tcPr>
            <w:tcW w:w="1652" w:type="dxa"/>
            <w:tcBorders>
              <w:top w:val="nil"/>
              <w:left w:val="nil"/>
              <w:bottom w:val="single" w:sz="4" w:space="0" w:color="auto"/>
              <w:right w:val="single" w:sz="4" w:space="0" w:color="auto"/>
            </w:tcBorders>
            <w:shd w:val="clear" w:color="auto" w:fill="auto"/>
            <w:vAlign w:val="center"/>
            <w:hideMark/>
          </w:tcPr>
          <w:p w14:paraId="5FC023A9" w14:textId="77777777" w:rsidR="00334ACA" w:rsidRPr="00781608" w:rsidRDefault="00334ACA"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2.28</w:t>
            </w:r>
          </w:p>
        </w:tc>
      </w:tr>
    </w:tbl>
    <w:p w14:paraId="49150F4B" w14:textId="77777777" w:rsidR="0062530F" w:rsidRPr="00781608" w:rsidRDefault="0062530F" w:rsidP="00E85684">
      <w:pPr>
        <w:pStyle w:val="ListParagraph"/>
        <w:tabs>
          <w:tab w:val="left" w:pos="1909"/>
        </w:tabs>
        <w:spacing w:after="120" w:line="276" w:lineRule="auto"/>
        <w:ind w:left="1440"/>
        <w:jc w:val="both"/>
        <w:rPr>
          <w:rFonts w:asciiTheme="minorHAnsi" w:hAnsiTheme="minorHAnsi" w:cstheme="minorHAnsi"/>
          <w:sz w:val="24"/>
          <w:szCs w:val="24"/>
        </w:rPr>
      </w:pPr>
    </w:p>
    <w:p w14:paraId="47F892ED" w14:textId="77777777" w:rsidR="0062530F" w:rsidRPr="00781608" w:rsidRDefault="0062530F" w:rsidP="00E85684">
      <w:pPr>
        <w:pStyle w:val="ListParagraph"/>
        <w:tabs>
          <w:tab w:val="left" w:pos="1909"/>
        </w:tabs>
        <w:spacing w:after="120" w:line="276" w:lineRule="auto"/>
        <w:ind w:left="1440"/>
        <w:jc w:val="both"/>
        <w:rPr>
          <w:rFonts w:asciiTheme="minorHAnsi" w:hAnsiTheme="minorHAnsi" w:cstheme="minorHAnsi"/>
          <w:sz w:val="24"/>
          <w:szCs w:val="24"/>
        </w:rPr>
      </w:pPr>
      <w:r w:rsidRPr="00781608">
        <w:rPr>
          <w:rFonts w:asciiTheme="minorHAnsi" w:hAnsiTheme="minorHAnsi" w:cstheme="minorHAnsi"/>
          <w:sz w:val="24"/>
          <w:szCs w:val="24"/>
        </w:rPr>
        <w:t xml:space="preserve">As regard to optimization of power cost of gas based generating station, it is to state that </w:t>
      </w:r>
      <w:proofErr w:type="gramStart"/>
      <w:r w:rsidRPr="00781608">
        <w:rPr>
          <w:rFonts w:asciiTheme="minorHAnsi" w:hAnsiTheme="minorHAnsi" w:cstheme="minorHAnsi"/>
          <w:sz w:val="24"/>
          <w:szCs w:val="24"/>
        </w:rPr>
        <w:t>in order to</w:t>
      </w:r>
      <w:proofErr w:type="gramEnd"/>
      <w:r w:rsidRPr="00781608">
        <w:rPr>
          <w:rFonts w:asciiTheme="minorHAnsi" w:hAnsiTheme="minorHAnsi" w:cstheme="minorHAnsi"/>
          <w:sz w:val="24"/>
          <w:szCs w:val="24"/>
        </w:rPr>
        <w:t xml:space="preserve"> optimise the cost of power from Gas based power plant, GUVNL has tied up Gas on High Sea sale basis from time to time as per the power requirement and considering the Gas based generation cost as per the Gas price at international market. </w:t>
      </w:r>
    </w:p>
    <w:p w14:paraId="26297068" w14:textId="77777777" w:rsidR="00A56DF7" w:rsidRPr="00781608" w:rsidRDefault="00A56DF7" w:rsidP="00E85684">
      <w:pPr>
        <w:pStyle w:val="ydp360db5b4yiv6248630976msolistparagraph"/>
        <w:numPr>
          <w:ilvl w:val="1"/>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lastRenderedPageBreak/>
        <w:t xml:space="preserve">Power purchase expenses as claimed in the Petition does not tally with the Power Purchase expense as submitted under FPPPA and Additional Surcharge </w:t>
      </w:r>
      <w:r w:rsidR="00836677" w:rsidRPr="00781608">
        <w:rPr>
          <w:rFonts w:asciiTheme="minorHAnsi" w:eastAsia="Times New Roman" w:hAnsiTheme="minorHAnsi" w:cstheme="minorHAnsi"/>
          <w:sz w:val="24"/>
          <w:szCs w:val="24"/>
        </w:rPr>
        <w:t>submission</w:t>
      </w:r>
      <w:r w:rsidRPr="00781608">
        <w:rPr>
          <w:rFonts w:asciiTheme="minorHAnsi" w:eastAsia="Times New Roman" w:hAnsiTheme="minorHAnsi" w:cstheme="minorHAnsi"/>
          <w:sz w:val="24"/>
          <w:szCs w:val="24"/>
        </w:rPr>
        <w:t xml:space="preserve"> to the Commission. It is requested to reconcile the same.</w:t>
      </w:r>
    </w:p>
    <w:p w14:paraId="1ECA053F" w14:textId="77777777" w:rsidR="0062530F" w:rsidRPr="00781608" w:rsidRDefault="0062530F" w:rsidP="00E85684">
      <w:pPr>
        <w:pStyle w:val="ListParagraph"/>
        <w:spacing w:after="120" w:line="276" w:lineRule="auto"/>
        <w:ind w:left="774" w:firstLine="666"/>
        <w:jc w:val="both"/>
        <w:rPr>
          <w:rFonts w:asciiTheme="minorHAnsi" w:hAnsiTheme="minorHAnsi" w:cstheme="minorHAnsi"/>
          <w:b/>
          <w:bCs/>
          <w:sz w:val="24"/>
          <w:szCs w:val="24"/>
        </w:rPr>
      </w:pPr>
      <w:r w:rsidRPr="00781608">
        <w:rPr>
          <w:rFonts w:asciiTheme="minorHAnsi" w:hAnsiTheme="minorHAnsi" w:cstheme="minorHAnsi"/>
          <w:b/>
          <w:bCs/>
          <w:sz w:val="24"/>
          <w:szCs w:val="24"/>
        </w:rPr>
        <w:t xml:space="preserve">Compliance: </w:t>
      </w:r>
    </w:p>
    <w:p w14:paraId="473815F5" w14:textId="77777777" w:rsidR="0062530F" w:rsidRPr="00781608" w:rsidRDefault="0062530F" w:rsidP="00402B18">
      <w:pPr>
        <w:autoSpaceDE w:val="0"/>
        <w:autoSpaceDN w:val="0"/>
        <w:adjustRightInd w:val="0"/>
        <w:spacing w:line="276" w:lineRule="auto"/>
        <w:ind w:left="1843" w:hanging="425"/>
        <w:contextualSpacing/>
        <w:jc w:val="both"/>
        <w:rPr>
          <w:rFonts w:asciiTheme="minorHAnsi" w:hAnsiTheme="minorHAnsi" w:cstheme="minorHAnsi"/>
          <w:sz w:val="24"/>
          <w:szCs w:val="24"/>
        </w:rPr>
      </w:pPr>
      <w:r w:rsidRPr="00781608">
        <w:rPr>
          <w:rFonts w:asciiTheme="minorHAnsi" w:hAnsiTheme="minorHAnsi" w:cstheme="minorHAnsi"/>
          <w:b/>
          <w:bCs/>
          <w:sz w:val="24"/>
          <w:szCs w:val="24"/>
        </w:rPr>
        <w:t>(</w:t>
      </w:r>
      <w:r w:rsidR="003C247B" w:rsidRPr="00781608">
        <w:rPr>
          <w:rFonts w:asciiTheme="minorHAnsi" w:hAnsiTheme="minorHAnsi" w:cstheme="minorHAnsi"/>
          <w:b/>
          <w:bCs/>
          <w:sz w:val="24"/>
          <w:szCs w:val="24"/>
        </w:rPr>
        <w:t>A</w:t>
      </w:r>
      <w:r w:rsidRPr="00781608">
        <w:rPr>
          <w:rFonts w:asciiTheme="minorHAnsi" w:hAnsiTheme="minorHAnsi" w:cstheme="minorHAnsi"/>
          <w:b/>
          <w:bCs/>
          <w:sz w:val="24"/>
          <w:szCs w:val="24"/>
        </w:rPr>
        <w:t>)</w:t>
      </w:r>
      <w:r w:rsidRPr="00781608">
        <w:rPr>
          <w:rFonts w:asciiTheme="minorHAnsi" w:hAnsiTheme="minorHAnsi" w:cstheme="minorHAnsi"/>
          <w:sz w:val="24"/>
          <w:szCs w:val="24"/>
        </w:rPr>
        <w:tab/>
        <w:t>As regard to Power Purchase Cost as per FPPPA submission viz-a-viz claimed in the Petition, it is to state that total power purchase cost as per the FPPPA submissions for FY 2020-21 is as under:</w:t>
      </w:r>
    </w:p>
    <w:p w14:paraId="4DAF2A33" w14:textId="77777777" w:rsidR="0062530F" w:rsidRPr="00781608" w:rsidRDefault="0062530F" w:rsidP="00E85684">
      <w:pPr>
        <w:autoSpaceDE w:val="0"/>
        <w:autoSpaceDN w:val="0"/>
        <w:adjustRightInd w:val="0"/>
        <w:spacing w:line="276" w:lineRule="auto"/>
        <w:jc w:val="both"/>
        <w:rPr>
          <w:rFonts w:asciiTheme="minorHAnsi" w:hAnsiTheme="minorHAnsi" w:cstheme="minorHAnsi"/>
        </w:rPr>
      </w:pPr>
    </w:p>
    <w:tbl>
      <w:tblPr>
        <w:tblStyle w:val="TableGrid"/>
        <w:tblW w:w="6933" w:type="dxa"/>
        <w:tblInd w:w="1838" w:type="dxa"/>
        <w:tblLayout w:type="fixed"/>
        <w:tblLook w:val="04A0" w:firstRow="1" w:lastRow="0" w:firstColumn="1" w:lastColumn="0" w:noHBand="0" w:noVBand="1"/>
      </w:tblPr>
      <w:tblGrid>
        <w:gridCol w:w="2092"/>
        <w:gridCol w:w="937"/>
        <w:gridCol w:w="784"/>
        <w:gridCol w:w="895"/>
        <w:gridCol w:w="1025"/>
        <w:gridCol w:w="1200"/>
      </w:tblGrid>
      <w:tr w:rsidR="003C247B" w:rsidRPr="00781608" w14:paraId="657205F7" w14:textId="77777777" w:rsidTr="003C247B">
        <w:tc>
          <w:tcPr>
            <w:tcW w:w="2092" w:type="dxa"/>
            <w:shd w:val="clear" w:color="auto" w:fill="DEEAF6" w:themeFill="accent5" w:themeFillTint="33"/>
            <w:vAlign w:val="center"/>
          </w:tcPr>
          <w:p w14:paraId="53F2CA55" w14:textId="77777777" w:rsidR="0062530F" w:rsidRPr="00781608" w:rsidRDefault="0062530F" w:rsidP="00E85684">
            <w:pPr>
              <w:pStyle w:val="ListParagraph"/>
              <w:autoSpaceDE w:val="0"/>
              <w:autoSpaceDN w:val="0"/>
              <w:adjustRightInd w:val="0"/>
              <w:spacing w:line="276" w:lineRule="auto"/>
              <w:ind w:left="0"/>
              <w:rPr>
                <w:rFonts w:asciiTheme="minorHAnsi" w:hAnsiTheme="minorHAnsi" w:cstheme="minorHAnsi"/>
                <w:b/>
                <w:bCs/>
                <w:sz w:val="24"/>
                <w:szCs w:val="24"/>
              </w:rPr>
            </w:pPr>
            <w:r w:rsidRPr="00781608">
              <w:rPr>
                <w:rFonts w:asciiTheme="minorHAnsi" w:hAnsiTheme="minorHAnsi" w:cstheme="minorHAnsi"/>
                <w:b/>
                <w:bCs/>
                <w:sz w:val="24"/>
                <w:szCs w:val="24"/>
              </w:rPr>
              <w:t>Quarter</w:t>
            </w:r>
          </w:p>
        </w:tc>
        <w:tc>
          <w:tcPr>
            <w:tcW w:w="937" w:type="dxa"/>
            <w:shd w:val="clear" w:color="auto" w:fill="DEEAF6" w:themeFill="accent5" w:themeFillTint="33"/>
            <w:vAlign w:val="center"/>
          </w:tcPr>
          <w:p w14:paraId="2448F69F" w14:textId="77777777" w:rsidR="0062530F" w:rsidRPr="00781608" w:rsidRDefault="0062530F" w:rsidP="00E85684">
            <w:pPr>
              <w:pStyle w:val="ListParagraph"/>
              <w:autoSpaceDE w:val="0"/>
              <w:autoSpaceDN w:val="0"/>
              <w:adjustRightInd w:val="0"/>
              <w:spacing w:line="276" w:lineRule="auto"/>
              <w:ind w:left="0"/>
              <w:jc w:val="center"/>
              <w:rPr>
                <w:rFonts w:asciiTheme="minorHAnsi" w:hAnsiTheme="minorHAnsi" w:cstheme="minorHAnsi"/>
                <w:b/>
                <w:bCs/>
                <w:sz w:val="24"/>
                <w:szCs w:val="24"/>
              </w:rPr>
            </w:pPr>
            <w:r w:rsidRPr="00781608">
              <w:rPr>
                <w:rFonts w:asciiTheme="minorHAnsi" w:hAnsiTheme="minorHAnsi" w:cstheme="minorHAnsi"/>
                <w:b/>
                <w:bCs/>
                <w:sz w:val="24"/>
                <w:szCs w:val="24"/>
              </w:rPr>
              <w:t>Q1</w:t>
            </w:r>
          </w:p>
        </w:tc>
        <w:tc>
          <w:tcPr>
            <w:tcW w:w="784" w:type="dxa"/>
            <w:shd w:val="clear" w:color="auto" w:fill="DEEAF6" w:themeFill="accent5" w:themeFillTint="33"/>
            <w:vAlign w:val="center"/>
          </w:tcPr>
          <w:p w14:paraId="1E2A0024" w14:textId="77777777" w:rsidR="0062530F" w:rsidRPr="00781608" w:rsidRDefault="0062530F" w:rsidP="00E85684">
            <w:pPr>
              <w:pStyle w:val="ListParagraph"/>
              <w:autoSpaceDE w:val="0"/>
              <w:autoSpaceDN w:val="0"/>
              <w:adjustRightInd w:val="0"/>
              <w:spacing w:line="276" w:lineRule="auto"/>
              <w:ind w:left="0"/>
              <w:jc w:val="center"/>
              <w:rPr>
                <w:rFonts w:asciiTheme="minorHAnsi" w:hAnsiTheme="minorHAnsi" w:cstheme="minorHAnsi"/>
                <w:b/>
                <w:bCs/>
                <w:sz w:val="24"/>
                <w:szCs w:val="24"/>
              </w:rPr>
            </w:pPr>
            <w:r w:rsidRPr="00781608">
              <w:rPr>
                <w:rFonts w:asciiTheme="minorHAnsi" w:hAnsiTheme="minorHAnsi" w:cstheme="minorHAnsi"/>
                <w:b/>
                <w:bCs/>
                <w:sz w:val="24"/>
                <w:szCs w:val="24"/>
              </w:rPr>
              <w:t>Q2</w:t>
            </w:r>
          </w:p>
        </w:tc>
        <w:tc>
          <w:tcPr>
            <w:tcW w:w="895" w:type="dxa"/>
            <w:shd w:val="clear" w:color="auto" w:fill="DEEAF6" w:themeFill="accent5" w:themeFillTint="33"/>
            <w:vAlign w:val="center"/>
          </w:tcPr>
          <w:p w14:paraId="4C541867" w14:textId="77777777" w:rsidR="0062530F" w:rsidRPr="00781608" w:rsidRDefault="0062530F" w:rsidP="00E85684">
            <w:pPr>
              <w:pStyle w:val="ListParagraph"/>
              <w:autoSpaceDE w:val="0"/>
              <w:autoSpaceDN w:val="0"/>
              <w:adjustRightInd w:val="0"/>
              <w:spacing w:line="276" w:lineRule="auto"/>
              <w:ind w:left="0"/>
              <w:jc w:val="center"/>
              <w:rPr>
                <w:rFonts w:asciiTheme="minorHAnsi" w:hAnsiTheme="minorHAnsi" w:cstheme="minorHAnsi"/>
                <w:b/>
                <w:bCs/>
                <w:sz w:val="24"/>
                <w:szCs w:val="24"/>
              </w:rPr>
            </w:pPr>
            <w:r w:rsidRPr="00781608">
              <w:rPr>
                <w:rFonts w:asciiTheme="minorHAnsi" w:hAnsiTheme="minorHAnsi" w:cstheme="minorHAnsi"/>
                <w:b/>
                <w:bCs/>
                <w:sz w:val="24"/>
                <w:szCs w:val="24"/>
              </w:rPr>
              <w:t>Q3</w:t>
            </w:r>
          </w:p>
        </w:tc>
        <w:tc>
          <w:tcPr>
            <w:tcW w:w="1025" w:type="dxa"/>
            <w:shd w:val="clear" w:color="auto" w:fill="DEEAF6" w:themeFill="accent5" w:themeFillTint="33"/>
            <w:vAlign w:val="center"/>
          </w:tcPr>
          <w:p w14:paraId="51391184" w14:textId="77777777" w:rsidR="0062530F" w:rsidRPr="00781608" w:rsidRDefault="0062530F" w:rsidP="00E85684">
            <w:pPr>
              <w:pStyle w:val="ListParagraph"/>
              <w:autoSpaceDE w:val="0"/>
              <w:autoSpaceDN w:val="0"/>
              <w:adjustRightInd w:val="0"/>
              <w:spacing w:line="276" w:lineRule="auto"/>
              <w:ind w:left="0"/>
              <w:jc w:val="center"/>
              <w:rPr>
                <w:rFonts w:asciiTheme="minorHAnsi" w:hAnsiTheme="minorHAnsi" w:cstheme="minorHAnsi"/>
                <w:b/>
                <w:bCs/>
                <w:sz w:val="24"/>
                <w:szCs w:val="24"/>
              </w:rPr>
            </w:pPr>
            <w:r w:rsidRPr="00781608">
              <w:rPr>
                <w:rFonts w:asciiTheme="minorHAnsi" w:hAnsiTheme="minorHAnsi" w:cstheme="minorHAnsi"/>
                <w:b/>
                <w:bCs/>
                <w:sz w:val="24"/>
                <w:szCs w:val="24"/>
              </w:rPr>
              <w:t>Q4</w:t>
            </w:r>
          </w:p>
        </w:tc>
        <w:tc>
          <w:tcPr>
            <w:tcW w:w="1200" w:type="dxa"/>
            <w:shd w:val="clear" w:color="auto" w:fill="DEEAF6" w:themeFill="accent5" w:themeFillTint="33"/>
            <w:vAlign w:val="center"/>
          </w:tcPr>
          <w:p w14:paraId="1561D696" w14:textId="77777777" w:rsidR="0062530F" w:rsidRPr="00781608" w:rsidRDefault="0062530F" w:rsidP="00E85684">
            <w:pPr>
              <w:pStyle w:val="ListParagraph"/>
              <w:autoSpaceDE w:val="0"/>
              <w:autoSpaceDN w:val="0"/>
              <w:adjustRightInd w:val="0"/>
              <w:spacing w:line="276" w:lineRule="auto"/>
              <w:ind w:left="0"/>
              <w:jc w:val="center"/>
              <w:rPr>
                <w:rFonts w:asciiTheme="minorHAnsi" w:hAnsiTheme="minorHAnsi" w:cstheme="minorHAnsi"/>
                <w:b/>
                <w:bCs/>
                <w:sz w:val="24"/>
                <w:szCs w:val="24"/>
              </w:rPr>
            </w:pPr>
            <w:r w:rsidRPr="00781608">
              <w:rPr>
                <w:rFonts w:asciiTheme="minorHAnsi" w:hAnsiTheme="minorHAnsi" w:cstheme="minorHAnsi"/>
                <w:b/>
                <w:bCs/>
                <w:sz w:val="24"/>
                <w:szCs w:val="24"/>
              </w:rPr>
              <w:t>Total</w:t>
            </w:r>
          </w:p>
        </w:tc>
      </w:tr>
      <w:tr w:rsidR="003C247B" w:rsidRPr="00781608" w14:paraId="49AB8516" w14:textId="77777777" w:rsidTr="003C247B">
        <w:tc>
          <w:tcPr>
            <w:tcW w:w="2092" w:type="dxa"/>
            <w:vAlign w:val="center"/>
          </w:tcPr>
          <w:p w14:paraId="625BCDE3" w14:textId="2E03F1CF" w:rsidR="0062530F" w:rsidRPr="00781608" w:rsidRDefault="0062530F" w:rsidP="00E85684">
            <w:pPr>
              <w:pStyle w:val="ListParagraph"/>
              <w:autoSpaceDE w:val="0"/>
              <w:autoSpaceDN w:val="0"/>
              <w:adjustRightInd w:val="0"/>
              <w:spacing w:line="276" w:lineRule="auto"/>
              <w:ind w:left="0"/>
              <w:rPr>
                <w:rFonts w:asciiTheme="minorHAnsi" w:hAnsiTheme="minorHAnsi" w:cstheme="minorHAnsi"/>
                <w:sz w:val="24"/>
                <w:szCs w:val="24"/>
              </w:rPr>
            </w:pPr>
            <w:r w:rsidRPr="00781608">
              <w:rPr>
                <w:rFonts w:asciiTheme="minorHAnsi" w:hAnsiTheme="minorHAnsi" w:cstheme="minorHAnsi"/>
                <w:sz w:val="24"/>
                <w:szCs w:val="24"/>
              </w:rPr>
              <w:t>Amount (Rs. Cr</w:t>
            </w:r>
            <w:r w:rsidR="00CB7B4F" w:rsidRPr="00781608">
              <w:rPr>
                <w:rFonts w:asciiTheme="minorHAnsi" w:hAnsiTheme="minorHAnsi" w:cstheme="minorHAnsi"/>
                <w:sz w:val="24"/>
                <w:szCs w:val="24"/>
              </w:rPr>
              <w:t>ore</w:t>
            </w:r>
            <w:r w:rsidRPr="00781608">
              <w:rPr>
                <w:rFonts w:asciiTheme="minorHAnsi" w:hAnsiTheme="minorHAnsi" w:cstheme="minorHAnsi"/>
                <w:sz w:val="24"/>
                <w:szCs w:val="24"/>
              </w:rPr>
              <w:t>)</w:t>
            </w:r>
          </w:p>
        </w:tc>
        <w:tc>
          <w:tcPr>
            <w:tcW w:w="937" w:type="dxa"/>
            <w:vAlign w:val="center"/>
          </w:tcPr>
          <w:p w14:paraId="76F672A6" w14:textId="77777777" w:rsidR="0062530F" w:rsidRPr="00781608" w:rsidRDefault="0062530F" w:rsidP="00E85684">
            <w:pPr>
              <w:spacing w:line="276" w:lineRule="auto"/>
              <w:jc w:val="center"/>
              <w:rPr>
                <w:rFonts w:asciiTheme="minorHAnsi" w:hAnsiTheme="minorHAnsi" w:cstheme="minorHAnsi"/>
                <w:sz w:val="24"/>
                <w:szCs w:val="24"/>
              </w:rPr>
            </w:pPr>
            <w:r w:rsidRPr="00781608">
              <w:rPr>
                <w:rFonts w:asciiTheme="minorHAnsi" w:hAnsiTheme="minorHAnsi" w:cstheme="minorHAnsi"/>
                <w:b/>
                <w:bCs/>
                <w:sz w:val="24"/>
                <w:szCs w:val="24"/>
              </w:rPr>
              <w:t>9941</w:t>
            </w:r>
          </w:p>
        </w:tc>
        <w:tc>
          <w:tcPr>
            <w:tcW w:w="784" w:type="dxa"/>
            <w:vAlign w:val="center"/>
          </w:tcPr>
          <w:p w14:paraId="67994DCD" w14:textId="77777777" w:rsidR="0062530F" w:rsidRPr="00781608" w:rsidRDefault="0062530F" w:rsidP="00E85684">
            <w:pPr>
              <w:spacing w:line="276" w:lineRule="auto"/>
              <w:jc w:val="center"/>
              <w:rPr>
                <w:rFonts w:asciiTheme="minorHAnsi" w:hAnsiTheme="minorHAnsi" w:cstheme="minorHAnsi"/>
                <w:sz w:val="24"/>
                <w:szCs w:val="24"/>
              </w:rPr>
            </w:pPr>
            <w:r w:rsidRPr="00781608">
              <w:rPr>
                <w:rFonts w:asciiTheme="minorHAnsi" w:hAnsiTheme="minorHAnsi" w:cstheme="minorHAnsi"/>
                <w:b/>
                <w:bCs/>
                <w:sz w:val="24"/>
                <w:szCs w:val="24"/>
              </w:rPr>
              <w:t>9145</w:t>
            </w:r>
          </w:p>
        </w:tc>
        <w:tc>
          <w:tcPr>
            <w:tcW w:w="895" w:type="dxa"/>
            <w:vAlign w:val="center"/>
          </w:tcPr>
          <w:p w14:paraId="7F4AA948" w14:textId="77777777" w:rsidR="0062530F" w:rsidRPr="00781608" w:rsidRDefault="0062530F" w:rsidP="00E85684">
            <w:pPr>
              <w:spacing w:line="276" w:lineRule="auto"/>
              <w:jc w:val="center"/>
              <w:rPr>
                <w:rFonts w:asciiTheme="minorHAnsi" w:hAnsiTheme="minorHAnsi" w:cstheme="minorHAnsi"/>
                <w:sz w:val="24"/>
                <w:szCs w:val="24"/>
              </w:rPr>
            </w:pPr>
            <w:r w:rsidRPr="00781608">
              <w:rPr>
                <w:rFonts w:asciiTheme="minorHAnsi" w:hAnsiTheme="minorHAnsi" w:cstheme="minorHAnsi"/>
                <w:b/>
                <w:bCs/>
                <w:sz w:val="24"/>
                <w:szCs w:val="24"/>
              </w:rPr>
              <w:t>10914</w:t>
            </w:r>
          </w:p>
        </w:tc>
        <w:tc>
          <w:tcPr>
            <w:tcW w:w="1025" w:type="dxa"/>
            <w:vAlign w:val="center"/>
          </w:tcPr>
          <w:p w14:paraId="6E4D1A00" w14:textId="77777777" w:rsidR="0062530F" w:rsidRPr="00781608" w:rsidRDefault="0062530F" w:rsidP="00E85684">
            <w:pPr>
              <w:spacing w:line="276" w:lineRule="auto"/>
              <w:jc w:val="center"/>
              <w:rPr>
                <w:rFonts w:asciiTheme="minorHAnsi" w:hAnsiTheme="minorHAnsi" w:cstheme="minorHAnsi"/>
                <w:sz w:val="24"/>
                <w:szCs w:val="24"/>
              </w:rPr>
            </w:pPr>
            <w:r w:rsidRPr="00781608">
              <w:rPr>
                <w:rFonts w:asciiTheme="minorHAnsi" w:hAnsiTheme="minorHAnsi" w:cstheme="minorHAnsi"/>
                <w:b/>
                <w:bCs/>
                <w:sz w:val="24"/>
                <w:szCs w:val="24"/>
              </w:rPr>
              <w:t>12216</w:t>
            </w:r>
          </w:p>
        </w:tc>
        <w:tc>
          <w:tcPr>
            <w:tcW w:w="1200" w:type="dxa"/>
            <w:vAlign w:val="center"/>
          </w:tcPr>
          <w:p w14:paraId="1EEB731B" w14:textId="77777777" w:rsidR="0062530F" w:rsidRPr="00781608" w:rsidRDefault="0062530F" w:rsidP="00E85684">
            <w:pPr>
              <w:spacing w:line="276" w:lineRule="auto"/>
              <w:jc w:val="center"/>
              <w:rPr>
                <w:rFonts w:asciiTheme="minorHAnsi" w:hAnsiTheme="minorHAnsi" w:cstheme="minorHAnsi"/>
                <w:sz w:val="24"/>
                <w:szCs w:val="24"/>
              </w:rPr>
            </w:pPr>
            <w:r w:rsidRPr="00781608">
              <w:rPr>
                <w:rFonts w:asciiTheme="minorHAnsi" w:hAnsiTheme="minorHAnsi" w:cstheme="minorHAnsi"/>
                <w:b/>
                <w:bCs/>
                <w:sz w:val="24"/>
                <w:szCs w:val="24"/>
              </w:rPr>
              <w:t>42215</w:t>
            </w:r>
          </w:p>
        </w:tc>
      </w:tr>
    </w:tbl>
    <w:p w14:paraId="541D7242" w14:textId="70264355" w:rsidR="003C247B" w:rsidRPr="00781608" w:rsidRDefault="0062530F" w:rsidP="003C247B">
      <w:pPr>
        <w:pStyle w:val="ydp360db5b4yiv6248630976msolistparagraph"/>
        <w:spacing w:after="200" w:line="276" w:lineRule="auto"/>
        <w:ind w:left="1843"/>
        <w:jc w:val="both"/>
        <w:rPr>
          <w:rFonts w:asciiTheme="minorHAnsi" w:hAnsiTheme="minorHAnsi" w:cstheme="minorHAnsi"/>
          <w:sz w:val="24"/>
          <w:szCs w:val="24"/>
          <w:lang w:val="en-US"/>
        </w:rPr>
      </w:pPr>
      <w:proofErr w:type="gramStart"/>
      <w:r w:rsidRPr="00781608">
        <w:rPr>
          <w:rFonts w:asciiTheme="minorHAnsi" w:hAnsiTheme="minorHAnsi" w:cstheme="minorHAnsi"/>
          <w:sz w:val="24"/>
          <w:szCs w:val="24"/>
          <w:lang w:val="en-US"/>
        </w:rPr>
        <w:t>Whereas,</w:t>
      </w:r>
      <w:proofErr w:type="gramEnd"/>
      <w:r w:rsidRPr="00781608">
        <w:rPr>
          <w:rFonts w:asciiTheme="minorHAnsi" w:hAnsiTheme="minorHAnsi" w:cstheme="minorHAnsi"/>
          <w:sz w:val="24"/>
          <w:szCs w:val="24"/>
          <w:lang w:val="en-US"/>
        </w:rPr>
        <w:t xml:space="preserve"> the net power purchase cost claimed in the Petition is Rs. 41268 Crores after deducting the amount of Rs. 2015 Cr</w:t>
      </w:r>
      <w:r w:rsidR="00CB7B4F" w:rsidRPr="00781608">
        <w:rPr>
          <w:rFonts w:asciiTheme="minorHAnsi" w:hAnsiTheme="minorHAnsi" w:cstheme="minorHAnsi"/>
          <w:sz w:val="24"/>
          <w:szCs w:val="24"/>
          <w:lang w:val="en-US"/>
        </w:rPr>
        <w:t>ore</w:t>
      </w:r>
      <w:r w:rsidRPr="00781608">
        <w:rPr>
          <w:rFonts w:asciiTheme="minorHAnsi" w:hAnsiTheme="minorHAnsi" w:cstheme="minorHAnsi"/>
          <w:sz w:val="24"/>
          <w:szCs w:val="24"/>
          <w:lang w:val="en-US"/>
        </w:rPr>
        <w:t xml:space="preserve"> for the provision made in the books towards payment liability as per the judgment of Hon’ble Supreme Court (provision made on best estimation basis as the amount is yet to be quantified by lower court / forum).</w:t>
      </w:r>
    </w:p>
    <w:p w14:paraId="08B542F1" w14:textId="4992B1D9" w:rsidR="003C247B" w:rsidRPr="00781608" w:rsidRDefault="0062530F" w:rsidP="003C247B">
      <w:pPr>
        <w:pStyle w:val="ydp360db5b4yiv6248630976msolistparagraph"/>
        <w:spacing w:after="200" w:line="276" w:lineRule="auto"/>
        <w:ind w:left="1843"/>
        <w:jc w:val="both"/>
        <w:rPr>
          <w:rFonts w:asciiTheme="minorHAnsi" w:hAnsiTheme="minorHAnsi" w:cstheme="minorHAnsi"/>
          <w:sz w:val="24"/>
          <w:szCs w:val="24"/>
          <w:lang w:val="en-US"/>
        </w:rPr>
      </w:pPr>
      <w:r w:rsidRPr="00781608">
        <w:rPr>
          <w:rFonts w:asciiTheme="minorHAnsi" w:hAnsiTheme="minorHAnsi" w:cstheme="minorHAnsi"/>
          <w:sz w:val="24"/>
          <w:szCs w:val="24"/>
          <w:lang w:val="en-US"/>
        </w:rPr>
        <w:t>Thus, there is difference of Rs. 947 Cr</w:t>
      </w:r>
      <w:r w:rsidR="00CB7B4F" w:rsidRPr="00781608">
        <w:rPr>
          <w:rFonts w:asciiTheme="minorHAnsi" w:hAnsiTheme="minorHAnsi" w:cstheme="minorHAnsi"/>
          <w:sz w:val="24"/>
          <w:szCs w:val="24"/>
          <w:lang w:val="en-US"/>
        </w:rPr>
        <w:t>ore</w:t>
      </w:r>
      <w:r w:rsidRPr="00781608">
        <w:rPr>
          <w:rFonts w:asciiTheme="minorHAnsi" w:hAnsiTheme="minorHAnsi" w:cstheme="minorHAnsi"/>
          <w:sz w:val="24"/>
          <w:szCs w:val="24"/>
          <w:lang w:val="en-US"/>
        </w:rPr>
        <w:t xml:space="preserve"> in the Power Purchase cost as per FPPPA and power purchase cost claimed in the Petition for true up of FY 2020-21.</w:t>
      </w:r>
    </w:p>
    <w:p w14:paraId="2CD5DFC8" w14:textId="77777777" w:rsidR="003C247B" w:rsidRPr="00781608" w:rsidRDefault="0062530F" w:rsidP="003C247B">
      <w:pPr>
        <w:pStyle w:val="ydp360db5b4yiv6248630976msolistparagraph"/>
        <w:spacing w:after="200" w:line="276" w:lineRule="auto"/>
        <w:ind w:left="1843"/>
        <w:jc w:val="both"/>
        <w:rPr>
          <w:rFonts w:asciiTheme="minorHAnsi" w:hAnsiTheme="minorHAnsi" w:cstheme="minorHAnsi"/>
          <w:sz w:val="24"/>
          <w:szCs w:val="24"/>
          <w:lang w:val="en-US"/>
        </w:rPr>
      </w:pPr>
      <w:r w:rsidRPr="00781608">
        <w:rPr>
          <w:rFonts w:asciiTheme="minorHAnsi" w:hAnsiTheme="minorHAnsi" w:cstheme="minorHAnsi"/>
          <w:sz w:val="24"/>
          <w:szCs w:val="24"/>
          <w:lang w:val="en-US"/>
        </w:rPr>
        <w:t xml:space="preserve">In this regard, it is to state that as per the directive of Hon’ble Commission, FPPPA is claimed based on actual payment made during respective quarter. which do not include un-discharged liability / provisions etc. but includes the amount which is paid during the quarter for which liability is accrued and booked as expenditure in the Books of previous year. Whereas Annual Accounts are prepared on accrual basis as per the Indian Accounting Standards (IND-AS) which includes undischarged liabilities / provisions on account of matters pending in various courts and estimated as per the orders of competent courts / best assessment basis. </w:t>
      </w:r>
    </w:p>
    <w:p w14:paraId="23F6D965" w14:textId="77777777" w:rsidR="0062530F" w:rsidRPr="00781608" w:rsidRDefault="0062530F" w:rsidP="003C247B">
      <w:pPr>
        <w:pStyle w:val="ydp360db5b4yiv6248630976msolistparagraph"/>
        <w:spacing w:after="200" w:line="276" w:lineRule="auto"/>
        <w:ind w:left="1843"/>
        <w:jc w:val="both"/>
        <w:rPr>
          <w:rFonts w:asciiTheme="minorHAnsi" w:hAnsiTheme="minorHAnsi" w:cstheme="minorHAnsi"/>
          <w:sz w:val="24"/>
          <w:szCs w:val="24"/>
          <w:lang w:val="en-US"/>
        </w:rPr>
      </w:pPr>
      <w:r w:rsidRPr="00781608">
        <w:rPr>
          <w:rFonts w:asciiTheme="minorHAnsi" w:hAnsiTheme="minorHAnsi" w:cstheme="minorHAnsi"/>
          <w:sz w:val="24"/>
          <w:szCs w:val="24"/>
          <w:lang w:val="en-US"/>
        </w:rPr>
        <w:t>Thus, the major reasons for difference in power purchase cost as per submissions of FPPPA and as claimed in the Petition for FY 2020-21 are as following:</w:t>
      </w:r>
    </w:p>
    <w:p w14:paraId="4FFEB415" w14:textId="77777777" w:rsidR="0062530F" w:rsidRPr="00781608" w:rsidRDefault="0062530F" w:rsidP="003C247B">
      <w:pPr>
        <w:pStyle w:val="ydp360db5b4yiv6248630976msolistparagraph"/>
        <w:spacing w:after="200" w:line="276" w:lineRule="auto"/>
        <w:ind w:left="1843"/>
        <w:jc w:val="both"/>
        <w:rPr>
          <w:rFonts w:asciiTheme="minorHAnsi" w:hAnsiTheme="minorHAnsi" w:cstheme="minorHAnsi"/>
          <w:b/>
          <w:bCs/>
          <w:sz w:val="24"/>
          <w:szCs w:val="24"/>
          <w:lang w:val="en-US"/>
        </w:rPr>
      </w:pPr>
      <w:r w:rsidRPr="00781608">
        <w:rPr>
          <w:rFonts w:asciiTheme="minorHAnsi" w:hAnsiTheme="minorHAnsi" w:cstheme="minorHAnsi"/>
          <w:b/>
          <w:bCs/>
          <w:sz w:val="24"/>
          <w:szCs w:val="24"/>
          <w:lang w:val="en-US"/>
        </w:rPr>
        <w:t>(</w:t>
      </w:r>
      <w:r w:rsidR="003C247B" w:rsidRPr="00781608">
        <w:rPr>
          <w:rFonts w:asciiTheme="minorHAnsi" w:hAnsiTheme="minorHAnsi" w:cstheme="minorHAnsi"/>
          <w:b/>
          <w:bCs/>
          <w:sz w:val="24"/>
          <w:szCs w:val="24"/>
          <w:lang w:val="en-US"/>
        </w:rPr>
        <w:t>a</w:t>
      </w:r>
      <w:r w:rsidRPr="00781608">
        <w:rPr>
          <w:rFonts w:asciiTheme="minorHAnsi" w:hAnsiTheme="minorHAnsi" w:cstheme="minorHAnsi"/>
          <w:b/>
          <w:bCs/>
          <w:sz w:val="24"/>
          <w:szCs w:val="24"/>
          <w:lang w:val="en-US"/>
        </w:rPr>
        <w:t>) The amount which provided in Books for FY 2020-21 but not claimed in FPPPA submission for FY 2020-21</w:t>
      </w:r>
    </w:p>
    <w:p w14:paraId="794F72E6" w14:textId="57774252" w:rsidR="0062530F" w:rsidRPr="00781608" w:rsidRDefault="0062530F" w:rsidP="003C247B">
      <w:pPr>
        <w:pStyle w:val="ydp360db5b4yiv6248630976msolistparagraph"/>
        <w:numPr>
          <w:ilvl w:val="0"/>
          <w:numId w:val="24"/>
        </w:numPr>
        <w:spacing w:after="200" w:line="276" w:lineRule="auto"/>
        <w:ind w:left="2410"/>
        <w:jc w:val="both"/>
        <w:rPr>
          <w:rFonts w:asciiTheme="minorHAnsi" w:hAnsiTheme="minorHAnsi" w:cstheme="minorHAnsi"/>
          <w:sz w:val="24"/>
          <w:szCs w:val="24"/>
          <w:lang w:val="en-US"/>
        </w:rPr>
      </w:pPr>
      <w:r w:rsidRPr="00781608">
        <w:rPr>
          <w:rFonts w:asciiTheme="minorHAnsi" w:hAnsiTheme="minorHAnsi" w:cstheme="minorHAnsi"/>
          <w:sz w:val="24"/>
          <w:szCs w:val="24"/>
          <w:lang w:val="en-US"/>
        </w:rPr>
        <w:t>The amount of Rs. 606.54 Cr</w:t>
      </w:r>
      <w:r w:rsidR="00CB7B4F" w:rsidRPr="00781608">
        <w:rPr>
          <w:rFonts w:asciiTheme="minorHAnsi" w:hAnsiTheme="minorHAnsi" w:cstheme="minorHAnsi"/>
          <w:sz w:val="24"/>
          <w:szCs w:val="24"/>
          <w:lang w:val="en-US"/>
        </w:rPr>
        <w:t>ore</w:t>
      </w:r>
      <w:r w:rsidRPr="00781608">
        <w:rPr>
          <w:rFonts w:asciiTheme="minorHAnsi" w:hAnsiTheme="minorHAnsi" w:cstheme="minorHAnsi"/>
          <w:sz w:val="24"/>
          <w:szCs w:val="24"/>
          <w:lang w:val="en-US"/>
        </w:rPr>
        <w:t xml:space="preserve"> (in addition to Rs. 2015 Cr</w:t>
      </w:r>
      <w:r w:rsidR="00CB7B4F" w:rsidRPr="00781608">
        <w:rPr>
          <w:rFonts w:asciiTheme="minorHAnsi" w:hAnsiTheme="minorHAnsi" w:cstheme="minorHAnsi"/>
          <w:sz w:val="24"/>
          <w:szCs w:val="24"/>
          <w:lang w:val="en-US"/>
        </w:rPr>
        <w:t>ore</w:t>
      </w:r>
      <w:r w:rsidRPr="00781608">
        <w:rPr>
          <w:rFonts w:asciiTheme="minorHAnsi" w:hAnsiTheme="minorHAnsi" w:cstheme="minorHAnsi"/>
          <w:sz w:val="24"/>
          <w:szCs w:val="24"/>
          <w:lang w:val="en-US"/>
        </w:rPr>
        <w:t xml:space="preserve">) is provided in the Books being amount decided, </w:t>
      </w:r>
      <w:proofErr w:type="gramStart"/>
      <w:r w:rsidRPr="00781608">
        <w:rPr>
          <w:rFonts w:asciiTheme="minorHAnsi" w:hAnsiTheme="minorHAnsi" w:cstheme="minorHAnsi"/>
          <w:sz w:val="24"/>
          <w:szCs w:val="24"/>
          <w:lang w:val="en-US"/>
        </w:rPr>
        <w:t>accrued</w:t>
      </w:r>
      <w:proofErr w:type="gramEnd"/>
      <w:r w:rsidRPr="00781608">
        <w:rPr>
          <w:rFonts w:asciiTheme="minorHAnsi" w:hAnsiTheme="minorHAnsi" w:cstheme="minorHAnsi"/>
          <w:sz w:val="24"/>
          <w:szCs w:val="24"/>
          <w:lang w:val="en-US"/>
        </w:rPr>
        <w:t xml:space="preserve"> and </w:t>
      </w:r>
      <w:r w:rsidRPr="00781608">
        <w:rPr>
          <w:rFonts w:asciiTheme="minorHAnsi" w:hAnsiTheme="minorHAnsi" w:cstheme="minorHAnsi"/>
          <w:sz w:val="24"/>
          <w:szCs w:val="24"/>
          <w:lang w:val="en-US"/>
        </w:rPr>
        <w:lastRenderedPageBreak/>
        <w:t>quantified as per the order of lower forum and there is immediate liability to pay but due to pendency of matter in higher forum. Thus, the amount of Rs. Rs. 606.54 Cr</w:t>
      </w:r>
      <w:r w:rsidR="00CB7B4F" w:rsidRPr="00781608">
        <w:rPr>
          <w:rFonts w:asciiTheme="minorHAnsi" w:hAnsiTheme="minorHAnsi" w:cstheme="minorHAnsi"/>
          <w:sz w:val="24"/>
          <w:szCs w:val="24"/>
          <w:lang w:val="en-US"/>
        </w:rPr>
        <w:t>ore</w:t>
      </w:r>
      <w:r w:rsidRPr="00781608">
        <w:rPr>
          <w:rFonts w:asciiTheme="minorHAnsi" w:hAnsiTheme="minorHAnsi" w:cstheme="minorHAnsi"/>
          <w:sz w:val="24"/>
          <w:szCs w:val="24"/>
          <w:lang w:val="en-US"/>
        </w:rPr>
        <w:t xml:space="preserve"> is considered in the Books / Petition as power purchase cost but the same is not part of FPPPA submissions.</w:t>
      </w:r>
    </w:p>
    <w:p w14:paraId="77F7E99F" w14:textId="77777777" w:rsidR="0062530F" w:rsidRPr="00781608" w:rsidRDefault="0062530F" w:rsidP="003C247B">
      <w:pPr>
        <w:pStyle w:val="ydp360db5b4yiv6248630976msolistparagraph"/>
        <w:spacing w:after="200" w:line="276" w:lineRule="auto"/>
        <w:ind w:left="1843"/>
        <w:jc w:val="both"/>
        <w:rPr>
          <w:rFonts w:asciiTheme="minorHAnsi" w:hAnsiTheme="minorHAnsi" w:cstheme="minorHAnsi"/>
          <w:b/>
          <w:bCs/>
          <w:sz w:val="24"/>
          <w:szCs w:val="24"/>
          <w:lang w:val="en-US"/>
        </w:rPr>
      </w:pPr>
      <w:r w:rsidRPr="00781608">
        <w:rPr>
          <w:rFonts w:asciiTheme="minorHAnsi" w:hAnsiTheme="minorHAnsi" w:cstheme="minorHAnsi"/>
          <w:b/>
          <w:bCs/>
          <w:sz w:val="24"/>
          <w:szCs w:val="24"/>
          <w:lang w:val="en-US"/>
        </w:rPr>
        <w:t>(</w:t>
      </w:r>
      <w:r w:rsidR="003C247B" w:rsidRPr="00781608">
        <w:rPr>
          <w:rFonts w:asciiTheme="minorHAnsi" w:hAnsiTheme="minorHAnsi" w:cstheme="minorHAnsi"/>
          <w:b/>
          <w:bCs/>
          <w:sz w:val="24"/>
          <w:szCs w:val="24"/>
          <w:lang w:val="en-US"/>
        </w:rPr>
        <w:t>b</w:t>
      </w:r>
      <w:r w:rsidRPr="00781608">
        <w:rPr>
          <w:rFonts w:asciiTheme="minorHAnsi" w:hAnsiTheme="minorHAnsi" w:cstheme="minorHAnsi"/>
          <w:b/>
          <w:bCs/>
          <w:sz w:val="24"/>
          <w:szCs w:val="24"/>
          <w:lang w:val="en-US"/>
        </w:rPr>
        <w:t>) The amount which is claimed as part of FPPPA submission of FY 2020-21 but provided in Books of previous years.</w:t>
      </w:r>
    </w:p>
    <w:p w14:paraId="7CCA7391" w14:textId="60C6FC3E" w:rsidR="0062530F" w:rsidRPr="00781608" w:rsidRDefault="0062530F" w:rsidP="003C247B">
      <w:pPr>
        <w:pStyle w:val="ydp360db5b4yiv6248630976msolistparagraph"/>
        <w:numPr>
          <w:ilvl w:val="0"/>
          <w:numId w:val="24"/>
        </w:numPr>
        <w:spacing w:after="200" w:line="276" w:lineRule="auto"/>
        <w:ind w:left="2410"/>
        <w:jc w:val="both"/>
        <w:rPr>
          <w:rFonts w:asciiTheme="minorHAnsi" w:hAnsiTheme="minorHAnsi" w:cstheme="minorHAnsi"/>
          <w:sz w:val="24"/>
          <w:szCs w:val="24"/>
          <w:lang w:val="en-US"/>
        </w:rPr>
      </w:pPr>
      <w:r w:rsidRPr="00781608">
        <w:rPr>
          <w:rFonts w:asciiTheme="minorHAnsi" w:hAnsiTheme="minorHAnsi" w:cstheme="minorHAnsi"/>
          <w:sz w:val="24"/>
          <w:szCs w:val="24"/>
          <w:lang w:val="en-US"/>
        </w:rPr>
        <w:t>The amount of Rs. 496 Cr</w:t>
      </w:r>
      <w:r w:rsidR="00CB7B4F" w:rsidRPr="00781608">
        <w:rPr>
          <w:rFonts w:asciiTheme="minorHAnsi" w:hAnsiTheme="minorHAnsi" w:cstheme="minorHAnsi"/>
          <w:sz w:val="24"/>
          <w:szCs w:val="24"/>
          <w:lang w:val="en-US"/>
        </w:rPr>
        <w:t>ore</w:t>
      </w:r>
      <w:r w:rsidRPr="00781608">
        <w:rPr>
          <w:rFonts w:asciiTheme="minorHAnsi" w:hAnsiTheme="minorHAnsi" w:cstheme="minorHAnsi"/>
          <w:sz w:val="24"/>
          <w:szCs w:val="24"/>
          <w:lang w:val="en-US"/>
        </w:rPr>
        <w:t xml:space="preserve"> paid to Nuclear Power Corporation (NPC) in FY 2020-21 towards past period tariff difference, which is booked as power purchase expenditure in the books of FY 2019-20 but claimed in FPPPA calculation for first quarter of FY 2020-21. </w:t>
      </w:r>
    </w:p>
    <w:p w14:paraId="7DC076C9" w14:textId="77777777" w:rsidR="0062530F" w:rsidRPr="00781608" w:rsidRDefault="0062530F" w:rsidP="003C247B">
      <w:pPr>
        <w:pStyle w:val="ydp360db5b4yiv6248630976msolistparagraph"/>
        <w:spacing w:after="200" w:line="276" w:lineRule="auto"/>
        <w:ind w:left="1843"/>
        <w:jc w:val="both"/>
        <w:rPr>
          <w:rFonts w:asciiTheme="minorHAnsi" w:hAnsiTheme="minorHAnsi" w:cstheme="minorHAnsi"/>
          <w:b/>
          <w:bCs/>
          <w:sz w:val="24"/>
          <w:szCs w:val="24"/>
          <w:lang w:val="en-US"/>
        </w:rPr>
      </w:pPr>
      <w:r w:rsidRPr="00781608">
        <w:rPr>
          <w:rFonts w:asciiTheme="minorHAnsi" w:hAnsiTheme="minorHAnsi" w:cstheme="minorHAnsi"/>
          <w:b/>
          <w:bCs/>
          <w:sz w:val="24"/>
          <w:szCs w:val="24"/>
          <w:lang w:val="en-US"/>
        </w:rPr>
        <w:t>(</w:t>
      </w:r>
      <w:r w:rsidR="003C247B" w:rsidRPr="00781608">
        <w:rPr>
          <w:rFonts w:asciiTheme="minorHAnsi" w:hAnsiTheme="minorHAnsi" w:cstheme="minorHAnsi"/>
          <w:b/>
          <w:bCs/>
          <w:sz w:val="24"/>
          <w:szCs w:val="24"/>
          <w:lang w:val="en-US"/>
        </w:rPr>
        <w:t>c</w:t>
      </w:r>
      <w:r w:rsidRPr="00781608">
        <w:rPr>
          <w:rFonts w:asciiTheme="minorHAnsi" w:hAnsiTheme="minorHAnsi" w:cstheme="minorHAnsi"/>
          <w:b/>
          <w:bCs/>
          <w:sz w:val="24"/>
          <w:szCs w:val="24"/>
          <w:lang w:val="en-US"/>
        </w:rPr>
        <w:t xml:space="preserve">) The amount of Credit for FY 2020-21 received and Booked for FY 2020-21 </w:t>
      </w:r>
      <w:proofErr w:type="gramStart"/>
      <w:r w:rsidRPr="00781608">
        <w:rPr>
          <w:rFonts w:asciiTheme="minorHAnsi" w:hAnsiTheme="minorHAnsi" w:cstheme="minorHAnsi"/>
          <w:b/>
          <w:bCs/>
          <w:sz w:val="24"/>
          <w:szCs w:val="24"/>
          <w:lang w:val="en-US"/>
        </w:rPr>
        <w:t>subsequent to</w:t>
      </w:r>
      <w:proofErr w:type="gramEnd"/>
      <w:r w:rsidRPr="00781608">
        <w:rPr>
          <w:rFonts w:asciiTheme="minorHAnsi" w:hAnsiTheme="minorHAnsi" w:cstheme="minorHAnsi"/>
          <w:b/>
          <w:bCs/>
          <w:sz w:val="24"/>
          <w:szCs w:val="24"/>
          <w:lang w:val="en-US"/>
        </w:rPr>
        <w:t xml:space="preserve"> FPPPA submission for FY 2020-21.</w:t>
      </w:r>
    </w:p>
    <w:p w14:paraId="5B99F9A0" w14:textId="44AC2BBB" w:rsidR="0062530F" w:rsidRPr="00781608" w:rsidRDefault="0062530F" w:rsidP="003C247B">
      <w:pPr>
        <w:pStyle w:val="ydp360db5b4yiv6248630976msolistparagraph"/>
        <w:numPr>
          <w:ilvl w:val="0"/>
          <w:numId w:val="24"/>
        </w:numPr>
        <w:spacing w:after="200" w:line="276" w:lineRule="auto"/>
        <w:ind w:left="2410"/>
        <w:jc w:val="both"/>
        <w:rPr>
          <w:rFonts w:asciiTheme="minorHAnsi" w:hAnsiTheme="minorHAnsi" w:cstheme="minorHAnsi"/>
          <w:sz w:val="24"/>
          <w:szCs w:val="24"/>
          <w:lang w:val="en-US"/>
        </w:rPr>
      </w:pPr>
      <w:r w:rsidRPr="00781608">
        <w:rPr>
          <w:rFonts w:asciiTheme="minorHAnsi" w:hAnsiTheme="minorHAnsi" w:cstheme="minorHAnsi"/>
          <w:sz w:val="24"/>
          <w:szCs w:val="24"/>
          <w:lang w:val="en-US"/>
        </w:rPr>
        <w:t xml:space="preserve"> There was credit receipt </w:t>
      </w:r>
      <w:proofErr w:type="gramStart"/>
      <w:r w:rsidRPr="00781608">
        <w:rPr>
          <w:rFonts w:asciiTheme="minorHAnsi" w:hAnsiTheme="minorHAnsi" w:cstheme="minorHAnsi"/>
          <w:sz w:val="24"/>
          <w:szCs w:val="24"/>
          <w:lang w:val="en-US"/>
        </w:rPr>
        <w:t>for the amount of</w:t>
      </w:r>
      <w:proofErr w:type="gramEnd"/>
      <w:r w:rsidRPr="00781608">
        <w:rPr>
          <w:rFonts w:asciiTheme="minorHAnsi" w:hAnsiTheme="minorHAnsi" w:cstheme="minorHAnsi"/>
          <w:sz w:val="24"/>
          <w:szCs w:val="24"/>
          <w:lang w:val="en-US"/>
        </w:rPr>
        <w:t xml:space="preserve"> Rs. 217.45 Cr</w:t>
      </w:r>
      <w:r w:rsidR="00CB7B4F" w:rsidRPr="00781608">
        <w:rPr>
          <w:rFonts w:asciiTheme="minorHAnsi" w:hAnsiTheme="minorHAnsi" w:cstheme="minorHAnsi"/>
          <w:sz w:val="24"/>
          <w:szCs w:val="24"/>
          <w:lang w:val="en-US"/>
        </w:rPr>
        <w:t>ore</w:t>
      </w:r>
      <w:r w:rsidRPr="00781608">
        <w:rPr>
          <w:rFonts w:asciiTheme="minorHAnsi" w:hAnsiTheme="minorHAnsi" w:cstheme="minorHAnsi"/>
          <w:sz w:val="24"/>
          <w:szCs w:val="24"/>
          <w:lang w:val="en-US"/>
        </w:rPr>
        <w:t xml:space="preserve"> in respect of GSECL towards COVID-19 rebate and receipt of net credit of Rs. 114 Cr</w:t>
      </w:r>
      <w:r w:rsidR="00CB7B4F" w:rsidRPr="00781608">
        <w:rPr>
          <w:rFonts w:asciiTheme="minorHAnsi" w:hAnsiTheme="minorHAnsi" w:cstheme="minorHAnsi"/>
          <w:sz w:val="24"/>
          <w:szCs w:val="24"/>
          <w:lang w:val="en-US"/>
        </w:rPr>
        <w:t>ore</w:t>
      </w:r>
      <w:r w:rsidRPr="00781608">
        <w:rPr>
          <w:rFonts w:asciiTheme="minorHAnsi" w:hAnsiTheme="minorHAnsi" w:cstheme="minorHAnsi"/>
          <w:sz w:val="24"/>
          <w:szCs w:val="24"/>
          <w:lang w:val="en-US"/>
        </w:rPr>
        <w:t xml:space="preserve"> in respect of GETCO for FY 2020-21 after FPPPA submissions for FY 2020-21 to Hon’ble Commission.</w:t>
      </w:r>
    </w:p>
    <w:p w14:paraId="3D0A4BA9" w14:textId="77777777" w:rsidR="0062530F" w:rsidRPr="00781608" w:rsidRDefault="0062530F" w:rsidP="003C247B">
      <w:pPr>
        <w:pStyle w:val="ydp360db5b4yiv6248630976msolistparagraph"/>
        <w:spacing w:after="200" w:line="276" w:lineRule="auto"/>
        <w:ind w:left="1843"/>
        <w:jc w:val="both"/>
        <w:rPr>
          <w:rFonts w:asciiTheme="minorHAnsi" w:hAnsiTheme="minorHAnsi" w:cstheme="minorHAnsi"/>
          <w:b/>
          <w:bCs/>
          <w:sz w:val="24"/>
          <w:szCs w:val="24"/>
          <w:lang w:val="en-US"/>
        </w:rPr>
      </w:pPr>
      <w:r w:rsidRPr="00781608">
        <w:rPr>
          <w:rFonts w:asciiTheme="minorHAnsi" w:hAnsiTheme="minorHAnsi" w:cstheme="minorHAnsi"/>
          <w:b/>
          <w:bCs/>
          <w:sz w:val="24"/>
          <w:szCs w:val="24"/>
          <w:lang w:val="en-US"/>
        </w:rPr>
        <w:t>(</w:t>
      </w:r>
      <w:r w:rsidR="003C247B" w:rsidRPr="00781608">
        <w:rPr>
          <w:rFonts w:asciiTheme="minorHAnsi" w:hAnsiTheme="minorHAnsi" w:cstheme="minorHAnsi"/>
          <w:b/>
          <w:bCs/>
          <w:sz w:val="24"/>
          <w:szCs w:val="24"/>
          <w:lang w:val="en-US"/>
        </w:rPr>
        <w:t>d</w:t>
      </w:r>
      <w:r w:rsidRPr="00781608">
        <w:rPr>
          <w:rFonts w:asciiTheme="minorHAnsi" w:hAnsiTheme="minorHAnsi" w:cstheme="minorHAnsi"/>
          <w:b/>
          <w:bCs/>
          <w:sz w:val="24"/>
          <w:szCs w:val="24"/>
          <w:lang w:val="en-US"/>
        </w:rPr>
        <w:t>) The amount which is part of FPPPA submission but not booked in Account of FY 2020-21.</w:t>
      </w:r>
    </w:p>
    <w:p w14:paraId="4F0578BF" w14:textId="6E8A318E" w:rsidR="0062530F" w:rsidRPr="00781608" w:rsidRDefault="0062530F" w:rsidP="003C247B">
      <w:pPr>
        <w:pStyle w:val="ydp360db5b4yiv6248630976msolistparagraph"/>
        <w:numPr>
          <w:ilvl w:val="0"/>
          <w:numId w:val="24"/>
        </w:numPr>
        <w:spacing w:after="200" w:line="276" w:lineRule="auto"/>
        <w:ind w:left="2410"/>
        <w:jc w:val="both"/>
        <w:rPr>
          <w:rFonts w:asciiTheme="minorHAnsi" w:hAnsiTheme="minorHAnsi" w:cstheme="minorHAnsi"/>
          <w:sz w:val="24"/>
          <w:szCs w:val="24"/>
          <w:lang w:val="en-US"/>
        </w:rPr>
      </w:pPr>
      <w:r w:rsidRPr="00781608">
        <w:rPr>
          <w:rFonts w:asciiTheme="minorHAnsi" w:hAnsiTheme="minorHAnsi" w:cstheme="minorHAnsi"/>
          <w:sz w:val="24"/>
          <w:szCs w:val="24"/>
        </w:rPr>
        <w:t>The GUVNL cost @ Rs. 0.04/Unit (Rs. 374 Cr</w:t>
      </w:r>
      <w:r w:rsidR="00CB7B4F" w:rsidRPr="00781608">
        <w:rPr>
          <w:rFonts w:asciiTheme="minorHAnsi" w:hAnsiTheme="minorHAnsi" w:cstheme="minorHAnsi"/>
          <w:sz w:val="24"/>
          <w:szCs w:val="24"/>
        </w:rPr>
        <w:t>ore</w:t>
      </w:r>
      <w:r w:rsidRPr="00781608">
        <w:rPr>
          <w:rFonts w:asciiTheme="minorHAnsi" w:hAnsiTheme="minorHAnsi" w:cstheme="minorHAnsi"/>
          <w:sz w:val="24"/>
          <w:szCs w:val="24"/>
        </w:rPr>
        <w:t>) considered in FPPPA submission as per methodology approved by Hon’ble Commission but the said amount is not part of power Purchase cost in the Books of GUVNL Accounts.</w:t>
      </w:r>
    </w:p>
    <w:p w14:paraId="1FF615E0" w14:textId="64C2FCCC" w:rsidR="0062530F" w:rsidRPr="00781608" w:rsidRDefault="0062530F" w:rsidP="003C247B">
      <w:pPr>
        <w:pStyle w:val="ydp360db5b4yiv6248630976msolistparagraph"/>
        <w:numPr>
          <w:ilvl w:val="0"/>
          <w:numId w:val="24"/>
        </w:numPr>
        <w:spacing w:after="200" w:line="276" w:lineRule="auto"/>
        <w:ind w:left="2410"/>
        <w:jc w:val="both"/>
        <w:rPr>
          <w:rFonts w:asciiTheme="minorHAnsi" w:hAnsiTheme="minorHAnsi" w:cstheme="minorHAnsi"/>
          <w:sz w:val="24"/>
          <w:szCs w:val="24"/>
          <w:lang w:val="en-US"/>
        </w:rPr>
      </w:pPr>
      <w:r w:rsidRPr="00781608">
        <w:rPr>
          <w:rFonts w:asciiTheme="minorHAnsi" w:hAnsiTheme="minorHAnsi" w:cstheme="minorHAnsi"/>
          <w:sz w:val="24"/>
          <w:szCs w:val="24"/>
        </w:rPr>
        <w:t>SLDC Charges (Rs. 33 Cr</w:t>
      </w:r>
      <w:r w:rsidR="00CB7B4F" w:rsidRPr="00781608">
        <w:rPr>
          <w:rFonts w:asciiTheme="minorHAnsi" w:hAnsiTheme="minorHAnsi" w:cstheme="minorHAnsi"/>
          <w:sz w:val="24"/>
          <w:szCs w:val="24"/>
        </w:rPr>
        <w:t>ore</w:t>
      </w:r>
      <w:r w:rsidRPr="00781608">
        <w:rPr>
          <w:rFonts w:asciiTheme="minorHAnsi" w:hAnsiTheme="minorHAnsi" w:cstheme="minorHAnsi"/>
          <w:sz w:val="24"/>
          <w:szCs w:val="24"/>
        </w:rPr>
        <w:t>) is considered in the FPPPA submission as per methodology approved by Hon’ble GERC but the said amount is not part of Power purchase cost as the SLDC charges is directly paid by DISCOMs and thus it is booked in DISCOMs Books of Accounts under power purchase expenses.</w:t>
      </w:r>
    </w:p>
    <w:p w14:paraId="3EB1E7B9" w14:textId="77777777" w:rsidR="0062530F" w:rsidRPr="00781608" w:rsidRDefault="0062530F" w:rsidP="003C247B">
      <w:pPr>
        <w:pStyle w:val="ydp360db5b4yiv6248630976msolistparagraph"/>
        <w:spacing w:after="200" w:line="276" w:lineRule="auto"/>
        <w:ind w:left="1843"/>
        <w:jc w:val="both"/>
        <w:rPr>
          <w:rFonts w:asciiTheme="minorHAnsi" w:hAnsiTheme="minorHAnsi" w:cstheme="minorHAnsi"/>
          <w:b/>
          <w:bCs/>
          <w:sz w:val="24"/>
          <w:szCs w:val="24"/>
          <w:lang w:val="en-US"/>
        </w:rPr>
      </w:pPr>
      <w:r w:rsidRPr="00781608">
        <w:rPr>
          <w:rFonts w:asciiTheme="minorHAnsi" w:hAnsiTheme="minorHAnsi" w:cstheme="minorHAnsi"/>
          <w:b/>
          <w:bCs/>
          <w:sz w:val="24"/>
          <w:szCs w:val="24"/>
          <w:lang w:val="en-US"/>
        </w:rPr>
        <w:t>(</w:t>
      </w:r>
      <w:r w:rsidR="003C247B" w:rsidRPr="00781608">
        <w:rPr>
          <w:rFonts w:asciiTheme="minorHAnsi" w:hAnsiTheme="minorHAnsi" w:cstheme="minorHAnsi"/>
          <w:b/>
          <w:bCs/>
          <w:sz w:val="24"/>
          <w:szCs w:val="24"/>
          <w:lang w:val="en-US"/>
        </w:rPr>
        <w:t>e</w:t>
      </w:r>
      <w:r w:rsidRPr="00781608">
        <w:rPr>
          <w:rFonts w:asciiTheme="minorHAnsi" w:hAnsiTheme="minorHAnsi" w:cstheme="minorHAnsi"/>
          <w:b/>
          <w:bCs/>
          <w:sz w:val="24"/>
          <w:szCs w:val="24"/>
          <w:lang w:val="en-US"/>
        </w:rPr>
        <w:t>) Others</w:t>
      </w:r>
    </w:p>
    <w:p w14:paraId="4A138AA2" w14:textId="5FC321BE" w:rsidR="005A72EA" w:rsidRPr="00781608" w:rsidRDefault="0062530F" w:rsidP="003C247B">
      <w:pPr>
        <w:pStyle w:val="ydp360db5b4yiv6248630976msolistparagraph"/>
        <w:numPr>
          <w:ilvl w:val="0"/>
          <w:numId w:val="24"/>
        </w:numPr>
        <w:spacing w:after="200" w:line="276" w:lineRule="auto"/>
        <w:ind w:left="2410"/>
        <w:jc w:val="both"/>
        <w:rPr>
          <w:rFonts w:asciiTheme="minorHAnsi" w:hAnsiTheme="minorHAnsi" w:cstheme="minorHAnsi"/>
          <w:sz w:val="24"/>
          <w:szCs w:val="24"/>
          <w:lang w:val="en-US"/>
        </w:rPr>
      </w:pPr>
      <w:r w:rsidRPr="00781608">
        <w:rPr>
          <w:rFonts w:asciiTheme="minorHAnsi" w:hAnsiTheme="minorHAnsi" w:cstheme="minorHAnsi"/>
          <w:sz w:val="24"/>
          <w:szCs w:val="24"/>
          <w:lang w:val="en-US"/>
        </w:rPr>
        <w:t xml:space="preserve">In case of GSECL Station, </w:t>
      </w:r>
      <w:r w:rsidRPr="00781608">
        <w:rPr>
          <w:rFonts w:asciiTheme="minorHAnsi" w:hAnsiTheme="minorHAnsi" w:cstheme="minorHAnsi"/>
          <w:sz w:val="24"/>
          <w:szCs w:val="24"/>
        </w:rPr>
        <w:t>there is deduction of Rs. 165 Cr</w:t>
      </w:r>
      <w:r w:rsidR="00CB7B4F" w:rsidRPr="00781608">
        <w:rPr>
          <w:rFonts w:asciiTheme="minorHAnsi" w:hAnsiTheme="minorHAnsi" w:cstheme="minorHAnsi"/>
          <w:sz w:val="24"/>
          <w:szCs w:val="24"/>
        </w:rPr>
        <w:t>ore</w:t>
      </w:r>
      <w:r w:rsidRPr="00781608">
        <w:rPr>
          <w:rFonts w:asciiTheme="minorHAnsi" w:hAnsiTheme="minorHAnsi" w:cstheme="minorHAnsi"/>
          <w:sz w:val="24"/>
          <w:szCs w:val="24"/>
        </w:rPr>
        <w:t xml:space="preserve"> in the FCA claim of GSECL after FPPPA submissions for FY 2020-21 to Hon’ble Commission. </w:t>
      </w:r>
    </w:p>
    <w:p w14:paraId="6ABA4E4D" w14:textId="707C9FA7" w:rsidR="0062530F" w:rsidRPr="00781608" w:rsidRDefault="0062530F" w:rsidP="00161B44">
      <w:pPr>
        <w:pStyle w:val="ydp360db5b4yiv6248630976msolistparagraph"/>
        <w:numPr>
          <w:ilvl w:val="0"/>
          <w:numId w:val="24"/>
        </w:numPr>
        <w:spacing w:after="200" w:line="276" w:lineRule="auto"/>
        <w:ind w:left="2410" w:hanging="340"/>
        <w:jc w:val="both"/>
        <w:rPr>
          <w:rFonts w:asciiTheme="minorHAnsi" w:hAnsiTheme="minorHAnsi" w:cstheme="minorHAnsi"/>
          <w:sz w:val="24"/>
          <w:szCs w:val="24"/>
          <w:lang w:val="en-US"/>
        </w:rPr>
      </w:pPr>
      <w:r w:rsidRPr="00781608">
        <w:rPr>
          <w:rFonts w:asciiTheme="minorHAnsi" w:hAnsiTheme="minorHAnsi" w:cstheme="minorHAnsi"/>
          <w:sz w:val="24"/>
          <w:szCs w:val="24"/>
          <w:lang w:val="en-US"/>
        </w:rPr>
        <w:t>The aggregate amount of Rs. 155 Cr</w:t>
      </w:r>
      <w:r w:rsidR="00CB7B4F" w:rsidRPr="00781608">
        <w:rPr>
          <w:rFonts w:asciiTheme="minorHAnsi" w:hAnsiTheme="minorHAnsi" w:cstheme="minorHAnsi"/>
          <w:sz w:val="24"/>
          <w:szCs w:val="24"/>
          <w:lang w:val="en-US"/>
        </w:rPr>
        <w:t>ore</w:t>
      </w:r>
      <w:r w:rsidRPr="00781608">
        <w:rPr>
          <w:rFonts w:asciiTheme="minorHAnsi" w:hAnsiTheme="minorHAnsi" w:cstheme="minorHAnsi"/>
          <w:sz w:val="24"/>
          <w:szCs w:val="24"/>
          <w:lang w:val="en-US"/>
        </w:rPr>
        <w:t xml:space="preserve"> is claimed in FPPPA submissions for actual payment made in FY 2020-21 towards </w:t>
      </w:r>
      <w:r w:rsidRPr="00781608">
        <w:rPr>
          <w:rFonts w:asciiTheme="minorHAnsi" w:hAnsiTheme="minorHAnsi" w:cstheme="minorHAnsi"/>
          <w:sz w:val="24"/>
          <w:szCs w:val="24"/>
          <w:lang w:val="en-US"/>
        </w:rPr>
        <w:lastRenderedPageBreak/>
        <w:t>Change in Law claims for past period in respect of CGPL/GIPCL (SLPP/SLPP Exp).</w:t>
      </w:r>
    </w:p>
    <w:p w14:paraId="085ADDEE" w14:textId="2BCBE6F4" w:rsidR="0062530F" w:rsidRPr="00781608" w:rsidRDefault="0062530F" w:rsidP="003C247B">
      <w:pPr>
        <w:autoSpaceDE w:val="0"/>
        <w:autoSpaceDN w:val="0"/>
        <w:adjustRightInd w:val="0"/>
        <w:spacing w:line="276" w:lineRule="auto"/>
        <w:ind w:left="1843" w:hanging="425"/>
        <w:contextualSpacing/>
        <w:jc w:val="both"/>
        <w:rPr>
          <w:rFonts w:asciiTheme="minorHAnsi" w:hAnsiTheme="minorHAnsi" w:cstheme="minorHAnsi"/>
          <w:sz w:val="24"/>
          <w:szCs w:val="24"/>
          <w:lang w:val="en-US"/>
        </w:rPr>
      </w:pPr>
      <w:r w:rsidRPr="00781608">
        <w:rPr>
          <w:rFonts w:asciiTheme="minorHAnsi" w:hAnsiTheme="minorHAnsi" w:cstheme="minorHAnsi"/>
          <w:b/>
          <w:bCs/>
          <w:sz w:val="24"/>
          <w:szCs w:val="24"/>
          <w:lang w:val="en-US"/>
        </w:rPr>
        <w:t>(</w:t>
      </w:r>
      <w:r w:rsidR="003C247B" w:rsidRPr="00781608">
        <w:rPr>
          <w:rFonts w:asciiTheme="minorHAnsi" w:hAnsiTheme="minorHAnsi" w:cstheme="minorHAnsi"/>
          <w:b/>
          <w:bCs/>
          <w:sz w:val="24"/>
          <w:szCs w:val="24"/>
          <w:lang w:val="en-US"/>
        </w:rPr>
        <w:t>B</w:t>
      </w:r>
      <w:r w:rsidRPr="00781608">
        <w:rPr>
          <w:rFonts w:asciiTheme="minorHAnsi" w:hAnsiTheme="minorHAnsi" w:cstheme="minorHAnsi"/>
          <w:b/>
          <w:bCs/>
          <w:sz w:val="24"/>
          <w:szCs w:val="24"/>
          <w:lang w:val="en-US"/>
        </w:rPr>
        <w:t>)</w:t>
      </w:r>
      <w:r w:rsidRPr="00781608">
        <w:rPr>
          <w:rFonts w:asciiTheme="minorHAnsi" w:hAnsiTheme="minorHAnsi" w:cstheme="minorHAnsi"/>
          <w:sz w:val="24"/>
          <w:szCs w:val="24"/>
          <w:lang w:val="en-US"/>
        </w:rPr>
        <w:tab/>
        <w:t>As regard to Power Purchase Cost as per Additional Surcharge submission viz-a-viz claimed in the Petition, there is net difference of Rs. 88 Cr</w:t>
      </w:r>
      <w:r w:rsidR="00CB7B4F" w:rsidRPr="00781608">
        <w:rPr>
          <w:rFonts w:asciiTheme="minorHAnsi" w:hAnsiTheme="minorHAnsi" w:cstheme="minorHAnsi"/>
          <w:sz w:val="24"/>
          <w:szCs w:val="24"/>
          <w:lang w:val="en-US"/>
        </w:rPr>
        <w:t>ore</w:t>
      </w:r>
      <w:r w:rsidRPr="00781608">
        <w:rPr>
          <w:rFonts w:asciiTheme="minorHAnsi" w:hAnsiTheme="minorHAnsi" w:cstheme="minorHAnsi"/>
          <w:sz w:val="24"/>
          <w:szCs w:val="24"/>
          <w:lang w:val="en-US"/>
        </w:rPr>
        <w:t xml:space="preserve"> </w:t>
      </w:r>
      <w:proofErr w:type="gramStart"/>
      <w:r w:rsidRPr="00781608">
        <w:rPr>
          <w:rFonts w:asciiTheme="minorHAnsi" w:hAnsiTheme="minorHAnsi" w:cstheme="minorHAnsi"/>
          <w:sz w:val="24"/>
          <w:szCs w:val="24"/>
          <w:lang w:val="en-US"/>
        </w:rPr>
        <w:t>i.e.</w:t>
      </w:r>
      <w:proofErr w:type="gramEnd"/>
      <w:r w:rsidRPr="00781608">
        <w:rPr>
          <w:rFonts w:asciiTheme="minorHAnsi" w:hAnsiTheme="minorHAnsi" w:cstheme="minorHAnsi"/>
          <w:sz w:val="24"/>
          <w:szCs w:val="24"/>
          <w:lang w:val="en-US"/>
        </w:rPr>
        <w:t xml:space="preserve"> lower claim of Rs. 88 Cr</w:t>
      </w:r>
      <w:r w:rsidR="00CB7B4F" w:rsidRPr="00781608">
        <w:rPr>
          <w:rFonts w:asciiTheme="minorHAnsi" w:hAnsiTheme="minorHAnsi" w:cstheme="minorHAnsi"/>
          <w:sz w:val="24"/>
          <w:szCs w:val="24"/>
          <w:lang w:val="en-US"/>
        </w:rPr>
        <w:t>ore</w:t>
      </w:r>
      <w:r w:rsidRPr="00781608">
        <w:rPr>
          <w:rFonts w:asciiTheme="minorHAnsi" w:hAnsiTheme="minorHAnsi" w:cstheme="minorHAnsi"/>
          <w:sz w:val="24"/>
          <w:szCs w:val="24"/>
          <w:lang w:val="en-US"/>
        </w:rPr>
        <w:t xml:space="preserve"> in the Additional Surcharge submissions. The reason for such difference is on account of additional claim / provisions in the Books of account after submission of Additional Surcharge claim. </w:t>
      </w:r>
    </w:p>
    <w:p w14:paraId="2100B3E7" w14:textId="77777777" w:rsidR="003C247B" w:rsidRPr="00781608" w:rsidRDefault="003C247B" w:rsidP="003C247B">
      <w:pPr>
        <w:autoSpaceDE w:val="0"/>
        <w:autoSpaceDN w:val="0"/>
        <w:adjustRightInd w:val="0"/>
        <w:spacing w:line="276" w:lineRule="auto"/>
        <w:ind w:left="1843" w:hanging="425"/>
        <w:contextualSpacing/>
        <w:jc w:val="both"/>
        <w:rPr>
          <w:rFonts w:asciiTheme="minorHAnsi" w:hAnsiTheme="minorHAnsi" w:cstheme="minorHAnsi"/>
          <w:sz w:val="24"/>
          <w:szCs w:val="24"/>
          <w:lang w:val="en-US"/>
        </w:rPr>
      </w:pPr>
    </w:p>
    <w:p w14:paraId="3302607D" w14:textId="77777777" w:rsidR="00A56DF7" w:rsidRPr="00781608" w:rsidRDefault="00A56DF7" w:rsidP="00E85684">
      <w:pPr>
        <w:pStyle w:val="ydp360db5b4yiv6248630976msolistparagraph"/>
        <w:numPr>
          <w:ilvl w:val="1"/>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t>As per Form 2 of the Petition, Power Purchase Expense for FY 2020-21 is Rs. 43283 Crore. As per para 3.6.6. of the Petition, out of total power purchase cost, Rs. 2015 Crore is reduced being provisional amount against disputed cases related to power purchase. It is observed from GUVNL Accounts Note 23 that provision for disputed matters with power generators for FY 2020-21 works out to Rs. 2621.54 Crore. It is requested to clarify why only Rs. 2015 Crore is considered for adjustment in power purchase cost instead of Rs. 2621.54 Crore.</w:t>
      </w:r>
    </w:p>
    <w:p w14:paraId="7D3C5E65" w14:textId="77777777" w:rsidR="005A72EA" w:rsidRPr="00781608" w:rsidRDefault="005A72EA" w:rsidP="00E85684">
      <w:pPr>
        <w:pStyle w:val="ListParagraph"/>
        <w:spacing w:after="120" w:line="276" w:lineRule="auto"/>
        <w:ind w:firstLine="720"/>
        <w:jc w:val="both"/>
        <w:rPr>
          <w:rFonts w:asciiTheme="minorHAnsi" w:hAnsiTheme="minorHAnsi" w:cstheme="minorHAnsi"/>
          <w:sz w:val="24"/>
          <w:szCs w:val="24"/>
        </w:rPr>
      </w:pPr>
      <w:r w:rsidRPr="00781608">
        <w:rPr>
          <w:rFonts w:asciiTheme="minorHAnsi" w:hAnsiTheme="minorHAnsi" w:cstheme="minorHAnsi"/>
          <w:b/>
          <w:bCs/>
          <w:sz w:val="24"/>
          <w:szCs w:val="24"/>
        </w:rPr>
        <w:t>Compliance:</w:t>
      </w:r>
    </w:p>
    <w:p w14:paraId="0FFE315F" w14:textId="6DDC54E9" w:rsidR="005A72EA" w:rsidRPr="00781608" w:rsidRDefault="005A72EA" w:rsidP="00E85684">
      <w:pPr>
        <w:pStyle w:val="ListParagraph"/>
        <w:spacing w:after="120" w:line="276" w:lineRule="auto"/>
        <w:ind w:left="1440"/>
        <w:jc w:val="both"/>
        <w:rPr>
          <w:rFonts w:asciiTheme="minorHAnsi" w:hAnsiTheme="minorHAnsi" w:cstheme="minorHAnsi"/>
          <w:sz w:val="24"/>
          <w:szCs w:val="24"/>
        </w:rPr>
      </w:pPr>
      <w:r w:rsidRPr="00781608">
        <w:rPr>
          <w:rFonts w:asciiTheme="minorHAnsi" w:hAnsiTheme="minorHAnsi" w:cstheme="minorHAnsi"/>
          <w:sz w:val="24"/>
          <w:szCs w:val="24"/>
        </w:rPr>
        <w:t>In this regard, it is to state that the provision for amount of Rs. 2015 Cr</w:t>
      </w:r>
      <w:r w:rsidR="00CB7B4F" w:rsidRPr="00781608">
        <w:rPr>
          <w:rFonts w:asciiTheme="minorHAnsi" w:hAnsiTheme="minorHAnsi" w:cstheme="minorHAnsi"/>
          <w:sz w:val="24"/>
          <w:szCs w:val="24"/>
        </w:rPr>
        <w:t>ore</w:t>
      </w:r>
      <w:r w:rsidRPr="00781608">
        <w:rPr>
          <w:rFonts w:asciiTheme="minorHAnsi" w:hAnsiTheme="minorHAnsi" w:cstheme="minorHAnsi"/>
          <w:sz w:val="24"/>
          <w:szCs w:val="24"/>
        </w:rPr>
        <w:t xml:space="preserve"> is related to payment liability as per the judgment of Hon’ble Supreme Court and the amount is provided on best estimation basis as the liability is yet to be quantified by lower court / forum. Further, the amount of Rs. 606.54 Cr</w:t>
      </w:r>
      <w:r w:rsidR="00CB7B4F" w:rsidRPr="00781608">
        <w:rPr>
          <w:rFonts w:asciiTheme="minorHAnsi" w:hAnsiTheme="minorHAnsi" w:cstheme="minorHAnsi"/>
          <w:sz w:val="24"/>
          <w:szCs w:val="24"/>
        </w:rPr>
        <w:t>ore</w:t>
      </w:r>
      <w:r w:rsidRPr="00781608">
        <w:rPr>
          <w:rFonts w:asciiTheme="minorHAnsi" w:hAnsiTheme="minorHAnsi" w:cstheme="minorHAnsi"/>
          <w:sz w:val="24"/>
          <w:szCs w:val="24"/>
        </w:rPr>
        <w:t xml:space="preserve"> (in addition to Rs. 2015 Cr</w:t>
      </w:r>
      <w:r w:rsidR="00CB7B4F" w:rsidRPr="00781608">
        <w:rPr>
          <w:rFonts w:asciiTheme="minorHAnsi" w:hAnsiTheme="minorHAnsi" w:cstheme="minorHAnsi"/>
          <w:sz w:val="24"/>
          <w:szCs w:val="24"/>
        </w:rPr>
        <w:t>ore</w:t>
      </w:r>
      <w:r w:rsidRPr="00781608">
        <w:rPr>
          <w:rFonts w:asciiTheme="minorHAnsi" w:hAnsiTheme="minorHAnsi" w:cstheme="minorHAnsi"/>
          <w:sz w:val="24"/>
          <w:szCs w:val="24"/>
        </w:rPr>
        <w:t xml:space="preserve">) is provided in the Books being the amount is decided, </w:t>
      </w:r>
      <w:proofErr w:type="gramStart"/>
      <w:r w:rsidRPr="00781608">
        <w:rPr>
          <w:rFonts w:asciiTheme="minorHAnsi" w:hAnsiTheme="minorHAnsi" w:cstheme="minorHAnsi"/>
          <w:sz w:val="24"/>
          <w:szCs w:val="24"/>
        </w:rPr>
        <w:t>accrued</w:t>
      </w:r>
      <w:proofErr w:type="gramEnd"/>
      <w:r w:rsidRPr="00781608">
        <w:rPr>
          <w:rFonts w:asciiTheme="minorHAnsi" w:hAnsiTheme="minorHAnsi" w:cstheme="minorHAnsi"/>
          <w:sz w:val="24"/>
          <w:szCs w:val="24"/>
        </w:rPr>
        <w:t xml:space="preserve"> and quantified as per the order of lower forum and there is immediate liability to pay but due to pendency of matter in higher forum. </w:t>
      </w:r>
    </w:p>
    <w:p w14:paraId="25B8B38C" w14:textId="77777777" w:rsidR="003C247B" w:rsidRPr="00781608" w:rsidRDefault="003C247B" w:rsidP="00E85684">
      <w:pPr>
        <w:pStyle w:val="ListParagraph"/>
        <w:spacing w:after="120" w:line="276" w:lineRule="auto"/>
        <w:ind w:left="1440"/>
        <w:jc w:val="both"/>
        <w:rPr>
          <w:rFonts w:asciiTheme="minorHAnsi" w:hAnsiTheme="minorHAnsi" w:cstheme="minorHAnsi"/>
          <w:sz w:val="24"/>
          <w:szCs w:val="24"/>
        </w:rPr>
      </w:pPr>
    </w:p>
    <w:p w14:paraId="39CCD7E1" w14:textId="77777777" w:rsidR="003C247B" w:rsidRPr="00781608" w:rsidRDefault="00A56DF7" w:rsidP="003C247B">
      <w:pPr>
        <w:pStyle w:val="ydp360db5b4yiv6248630976msolistparagraph"/>
        <w:numPr>
          <w:ilvl w:val="1"/>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t>In Table 13 of the Petition, DSM income receivable is shown as Rs. 158.57 Crore. While in Note 50 B, UI Income is shown as Rs. 161.37 Crore while UI Expenses are shown as Rs. 1.66 Crore and thus, net UI Income works out to Rs. 159.71 Crore. Please clarify the difference.</w:t>
      </w:r>
    </w:p>
    <w:p w14:paraId="02829A4D" w14:textId="5891EEA6" w:rsidR="00D44FC3" w:rsidRPr="00781608" w:rsidRDefault="009B790B" w:rsidP="00D44FC3">
      <w:pPr>
        <w:pStyle w:val="ydp360db5b4yiv6248630976msolistparagraph"/>
        <w:spacing w:beforeAutospacing="0" w:after="200" w:afterAutospacing="0" w:line="276" w:lineRule="auto"/>
        <w:ind w:left="1440"/>
        <w:jc w:val="both"/>
        <w:rPr>
          <w:rFonts w:asciiTheme="minorHAnsi" w:hAnsiTheme="minorHAnsi" w:cstheme="minorHAnsi"/>
          <w:sz w:val="24"/>
          <w:szCs w:val="24"/>
        </w:rPr>
      </w:pPr>
      <w:r w:rsidRPr="00781608">
        <w:rPr>
          <w:rFonts w:asciiTheme="minorHAnsi" w:eastAsia="Times New Roman" w:hAnsiTheme="minorHAnsi" w:cstheme="minorHAnsi"/>
          <w:b/>
          <w:bCs/>
          <w:sz w:val="24"/>
          <w:szCs w:val="24"/>
        </w:rPr>
        <w:t>Compliance:</w:t>
      </w:r>
      <w:r w:rsidRPr="00781608">
        <w:rPr>
          <w:rFonts w:asciiTheme="minorHAnsi" w:eastAsia="Times New Roman" w:hAnsiTheme="minorHAnsi" w:cstheme="minorHAnsi"/>
          <w:sz w:val="24"/>
          <w:szCs w:val="24"/>
        </w:rPr>
        <w:t xml:space="preserve"> </w:t>
      </w:r>
      <w:bookmarkStart w:id="3" w:name="_Hlk93153913"/>
      <w:r w:rsidR="004866E8">
        <w:rPr>
          <w:rFonts w:asciiTheme="minorHAnsi" w:eastAsia="Times New Roman" w:hAnsiTheme="minorHAnsi" w:cstheme="minorHAnsi"/>
          <w:sz w:val="24"/>
          <w:szCs w:val="24"/>
        </w:rPr>
        <w:t xml:space="preserve">Net </w:t>
      </w:r>
      <w:r w:rsidR="00781608" w:rsidRPr="00781608">
        <w:rPr>
          <w:rFonts w:asciiTheme="minorHAnsi" w:eastAsia="Times New Roman" w:hAnsiTheme="minorHAnsi" w:cstheme="minorHAnsi"/>
          <w:sz w:val="24"/>
          <w:szCs w:val="24"/>
        </w:rPr>
        <w:t xml:space="preserve">DSM income receivable </w:t>
      </w:r>
      <w:r w:rsidR="00B67C7A" w:rsidRPr="00781608">
        <w:rPr>
          <w:rFonts w:asciiTheme="minorHAnsi" w:eastAsia="Times New Roman" w:hAnsiTheme="minorHAnsi" w:cstheme="minorHAnsi"/>
          <w:sz w:val="24"/>
          <w:szCs w:val="24"/>
        </w:rPr>
        <w:t xml:space="preserve">also includes </w:t>
      </w:r>
      <w:r w:rsidR="00D44FC3" w:rsidRPr="00781608">
        <w:rPr>
          <w:rFonts w:asciiTheme="minorHAnsi" w:hAnsiTheme="minorHAnsi" w:cstheme="minorHAnsi"/>
          <w:sz w:val="24"/>
          <w:szCs w:val="24"/>
        </w:rPr>
        <w:t>Rs. 1,14,59</w:t>
      </w:r>
      <w:r w:rsidR="00781608" w:rsidRPr="00781608">
        <w:rPr>
          <w:rFonts w:asciiTheme="minorHAnsi" w:hAnsiTheme="minorHAnsi" w:cstheme="minorHAnsi"/>
          <w:sz w:val="24"/>
          <w:szCs w:val="24"/>
        </w:rPr>
        <w:t xml:space="preserve"> </w:t>
      </w:r>
      <w:r w:rsidR="00D44FC3" w:rsidRPr="00781608">
        <w:rPr>
          <w:rFonts w:asciiTheme="minorHAnsi" w:hAnsiTheme="minorHAnsi" w:cstheme="minorHAnsi"/>
          <w:sz w:val="24"/>
          <w:szCs w:val="24"/>
        </w:rPr>
        <w:t>,971</w:t>
      </w:r>
      <w:r w:rsidR="00B67C7A" w:rsidRPr="00781608">
        <w:rPr>
          <w:rFonts w:asciiTheme="minorHAnsi" w:hAnsiTheme="minorHAnsi" w:cstheme="minorHAnsi"/>
          <w:sz w:val="24"/>
          <w:szCs w:val="24"/>
        </w:rPr>
        <w:t xml:space="preserve"> </w:t>
      </w:r>
      <w:r w:rsidR="00781608" w:rsidRPr="00781608">
        <w:rPr>
          <w:rFonts w:asciiTheme="minorHAnsi" w:eastAsia="Times New Roman" w:hAnsiTheme="minorHAnsi" w:cstheme="minorHAnsi"/>
          <w:color w:val="000000"/>
          <w:lang w:bidi="gu-IN"/>
        </w:rPr>
        <w:t xml:space="preserve">towards </w:t>
      </w:r>
      <w:r w:rsidR="00781608" w:rsidRPr="00781608">
        <w:rPr>
          <w:rFonts w:asciiTheme="minorHAnsi" w:hAnsiTheme="minorHAnsi" w:cstheme="minorHAnsi"/>
          <w:color w:val="000000" w:themeColor="text1"/>
        </w:rPr>
        <w:t xml:space="preserve">congestion </w:t>
      </w:r>
      <w:r w:rsidR="00781608" w:rsidRPr="00781608">
        <w:rPr>
          <w:rFonts w:asciiTheme="minorHAnsi" w:eastAsia="Times New Roman" w:hAnsiTheme="minorHAnsi" w:cstheme="minorHAnsi"/>
          <w:color w:val="000000"/>
          <w:lang w:bidi="gu-IN"/>
        </w:rPr>
        <w:t>charge raised by GETCO</w:t>
      </w:r>
      <w:r w:rsidR="00781608">
        <w:rPr>
          <w:rFonts w:asciiTheme="minorHAnsi" w:eastAsia="Times New Roman" w:hAnsiTheme="minorHAnsi" w:cstheme="minorHAnsi"/>
          <w:color w:val="000000"/>
          <w:lang w:bidi="gu-IN"/>
        </w:rPr>
        <w:t xml:space="preserve"> over and above UI expense of Rs. 1.66 Crore </w:t>
      </w:r>
      <w:r w:rsidR="00B67C7A" w:rsidRPr="00781608">
        <w:rPr>
          <w:rFonts w:asciiTheme="minorHAnsi" w:hAnsiTheme="minorHAnsi" w:cstheme="minorHAnsi"/>
          <w:sz w:val="24"/>
          <w:szCs w:val="24"/>
        </w:rPr>
        <w:t xml:space="preserve">and </w:t>
      </w:r>
      <w:r w:rsidR="004866E8">
        <w:rPr>
          <w:rFonts w:asciiTheme="minorHAnsi" w:hAnsiTheme="minorHAnsi" w:cstheme="minorHAnsi"/>
          <w:sz w:val="24"/>
          <w:szCs w:val="24"/>
        </w:rPr>
        <w:t xml:space="preserve">hence net </w:t>
      </w:r>
      <w:r w:rsidR="00781608" w:rsidRPr="00781608">
        <w:rPr>
          <w:rFonts w:asciiTheme="minorHAnsi" w:hAnsiTheme="minorHAnsi" w:cstheme="minorHAnsi"/>
          <w:sz w:val="24"/>
          <w:szCs w:val="24"/>
        </w:rPr>
        <w:t>DSM income receivable works out to Rs. 158.57 Crore.</w:t>
      </w:r>
      <w:bookmarkEnd w:id="3"/>
    </w:p>
    <w:p w14:paraId="67661AFE" w14:textId="77777777" w:rsidR="003C247B" w:rsidRPr="00781608" w:rsidRDefault="003C247B" w:rsidP="003C247B">
      <w:pPr>
        <w:pStyle w:val="ydp360db5b4yiv6248630976msolistparagraph"/>
        <w:spacing w:beforeAutospacing="0" w:after="200" w:afterAutospacing="0" w:line="276" w:lineRule="auto"/>
        <w:ind w:left="1440"/>
        <w:jc w:val="both"/>
        <w:rPr>
          <w:rFonts w:asciiTheme="minorHAnsi" w:hAnsiTheme="minorHAnsi" w:cstheme="minorHAnsi"/>
          <w:sz w:val="24"/>
          <w:szCs w:val="24"/>
        </w:rPr>
      </w:pPr>
    </w:p>
    <w:p w14:paraId="532663C2" w14:textId="77777777" w:rsidR="00A56DF7" w:rsidRPr="00781608" w:rsidRDefault="00A56DF7" w:rsidP="00E85684">
      <w:pPr>
        <w:pStyle w:val="ydp360db5b4yiv6248630976msolistparagraph"/>
        <w:numPr>
          <w:ilvl w:val="0"/>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hAnsiTheme="minorHAnsi" w:cstheme="minorHAnsi"/>
          <w:sz w:val="24"/>
          <w:szCs w:val="24"/>
        </w:rPr>
        <w:t xml:space="preserve">UGVCL should submit the status of RPO compliance for FY 2020-21, and cumulative shortfall/surplus till FY 2020-21, if any, separately for Solar, Non-Solar RPO and Other RE sources. Moreover, it is observed that figures of procurement of energy from </w:t>
      </w:r>
      <w:r w:rsidRPr="00781608">
        <w:rPr>
          <w:rFonts w:asciiTheme="minorHAnsi" w:hAnsiTheme="minorHAnsi" w:cstheme="minorHAnsi"/>
          <w:sz w:val="24"/>
          <w:szCs w:val="24"/>
        </w:rPr>
        <w:lastRenderedPageBreak/>
        <w:t xml:space="preserve">various sources as reported under RPO compliance report submitted by GUVNL on quarterly basis and on annual basis, as reported under FPPPA submission and as submitted in the Petition does not reconcile with each other. It is requested to clarify on the same. </w:t>
      </w:r>
    </w:p>
    <w:p w14:paraId="02CDE006" w14:textId="77777777" w:rsidR="005A72EA" w:rsidRPr="00781608" w:rsidRDefault="005A72EA" w:rsidP="00E85684">
      <w:pPr>
        <w:pStyle w:val="ListParagraph"/>
        <w:spacing w:before="200" w:line="276" w:lineRule="auto"/>
        <w:jc w:val="both"/>
        <w:rPr>
          <w:rFonts w:asciiTheme="minorHAnsi" w:hAnsiTheme="minorHAnsi" w:cstheme="minorHAnsi"/>
          <w:b/>
          <w:bCs/>
          <w:sz w:val="24"/>
          <w:szCs w:val="24"/>
        </w:rPr>
      </w:pPr>
      <w:r w:rsidRPr="00781608">
        <w:rPr>
          <w:rFonts w:asciiTheme="minorHAnsi" w:hAnsiTheme="minorHAnsi" w:cstheme="minorHAnsi"/>
          <w:b/>
          <w:bCs/>
          <w:sz w:val="24"/>
          <w:szCs w:val="24"/>
        </w:rPr>
        <w:t xml:space="preserve">Compliance: </w:t>
      </w:r>
    </w:p>
    <w:p w14:paraId="2F17F1CA" w14:textId="77777777" w:rsidR="005A72EA" w:rsidRPr="00781608" w:rsidRDefault="005A72EA" w:rsidP="00E85684">
      <w:pPr>
        <w:pStyle w:val="ListParagraph"/>
        <w:spacing w:before="200" w:line="276" w:lineRule="auto"/>
        <w:jc w:val="both"/>
        <w:rPr>
          <w:rFonts w:asciiTheme="minorHAnsi" w:hAnsiTheme="minorHAnsi" w:cstheme="minorHAnsi"/>
          <w:sz w:val="24"/>
          <w:szCs w:val="24"/>
        </w:rPr>
      </w:pPr>
      <w:r w:rsidRPr="00781608">
        <w:rPr>
          <w:rFonts w:asciiTheme="minorHAnsi" w:hAnsiTheme="minorHAnsi" w:cstheme="minorHAnsi"/>
          <w:sz w:val="24"/>
          <w:szCs w:val="24"/>
        </w:rPr>
        <w:t>It is to state that on behalf of four State owned DISCOMs, GUVNL is submitting RPO status to Hon’ble Commission. The status of RPO compliance at the end of FY 2020-21 is as under:</w:t>
      </w:r>
    </w:p>
    <w:p w14:paraId="44A3A149" w14:textId="77777777" w:rsidR="005A72EA" w:rsidRPr="00781608" w:rsidRDefault="005A72EA" w:rsidP="00E85684">
      <w:pPr>
        <w:pStyle w:val="ydp360db5b4yiv6248630976msolistparagraph"/>
        <w:spacing w:beforeAutospacing="0" w:after="200" w:afterAutospacing="0" w:line="276" w:lineRule="auto"/>
        <w:ind w:left="720"/>
        <w:jc w:val="both"/>
        <w:rPr>
          <w:rFonts w:asciiTheme="minorHAnsi" w:hAnsiTheme="minorHAnsi" w:cstheme="minorHAnsi"/>
          <w:sz w:val="24"/>
          <w:szCs w:val="24"/>
        </w:rPr>
      </w:pPr>
      <w:r w:rsidRPr="00781608">
        <w:rPr>
          <w:rFonts w:asciiTheme="minorHAnsi" w:hAnsiTheme="minorHAnsi" w:cstheme="minorHAnsi"/>
          <w:sz w:val="24"/>
          <w:szCs w:val="24"/>
        </w:rPr>
        <w:t>As regard to difference between quantum of Renewable Energy as per FPPPA submissions and quantum of Renewable Energy as per RPO compliance submission on quarterly basis, it is to state that the FPPPA submission includes purchase of Renewable Energy from the RE projects having PPA with GUVNL only whereas in addition to RE purchase under PPA based project with GUVNL, the RPO compliance submission also includes the Renewable Energy locally purchased by DISCOMs / Renewable Energy wheeled for captive / third party use and RE attribute is not claimed by consumers.</w:t>
      </w:r>
    </w:p>
    <w:p w14:paraId="546F4243" w14:textId="77777777" w:rsidR="003C247B" w:rsidRPr="00781608" w:rsidRDefault="003C247B" w:rsidP="00E85684">
      <w:pPr>
        <w:pStyle w:val="ydp360db5b4yiv6248630976msolistparagraph"/>
        <w:spacing w:beforeAutospacing="0" w:after="200" w:afterAutospacing="0" w:line="276" w:lineRule="auto"/>
        <w:ind w:left="720"/>
        <w:jc w:val="both"/>
        <w:rPr>
          <w:rFonts w:asciiTheme="minorHAnsi" w:hAnsiTheme="minorHAnsi" w:cstheme="minorHAnsi"/>
          <w:sz w:val="24"/>
          <w:szCs w:val="24"/>
        </w:rPr>
      </w:pPr>
    </w:p>
    <w:p w14:paraId="4B4DEEE3" w14:textId="77777777" w:rsidR="00A56DF7" w:rsidRPr="00781608" w:rsidRDefault="00A56DF7" w:rsidP="00E85684">
      <w:pPr>
        <w:pStyle w:val="ydp360db5b4yiv6248630976msolistparagraph"/>
        <w:numPr>
          <w:ilvl w:val="0"/>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t xml:space="preserve">As regards average power purchase cost of Rs. 4.24/kWh considered in Table 14 of the Petition, UGVCL should provide computation for the rate of Rs. 4.24/kWh </w:t>
      </w:r>
      <w:proofErr w:type="spellStart"/>
      <w:r w:rsidRPr="00781608">
        <w:rPr>
          <w:rFonts w:asciiTheme="minorHAnsi" w:eastAsia="Times New Roman" w:hAnsiTheme="minorHAnsi" w:cstheme="minorHAnsi"/>
          <w:sz w:val="24"/>
          <w:szCs w:val="24"/>
        </w:rPr>
        <w:t>w.r.t.</w:t>
      </w:r>
      <w:proofErr w:type="spellEnd"/>
      <w:r w:rsidRPr="00781608">
        <w:rPr>
          <w:rFonts w:asciiTheme="minorHAnsi" w:eastAsia="Times New Roman" w:hAnsiTheme="minorHAnsi" w:cstheme="minorHAnsi"/>
          <w:sz w:val="24"/>
          <w:szCs w:val="24"/>
        </w:rPr>
        <w:t xml:space="preserve"> the power purchase cost shown in Form 2 of the Formats.</w:t>
      </w:r>
    </w:p>
    <w:p w14:paraId="07D25F8C" w14:textId="77777777" w:rsidR="00E07B58" w:rsidRPr="00781608" w:rsidRDefault="00836677" w:rsidP="00E85684">
      <w:pPr>
        <w:pStyle w:val="ydp360db5b4yiv6248630976msolistparagraph"/>
        <w:spacing w:beforeAutospacing="0" w:after="200" w:afterAutospacing="0" w:line="276" w:lineRule="auto"/>
        <w:ind w:left="720"/>
        <w:jc w:val="both"/>
        <w:rPr>
          <w:rFonts w:asciiTheme="minorHAnsi" w:eastAsia="Times New Roman" w:hAnsiTheme="minorHAnsi" w:cstheme="minorHAnsi"/>
          <w:sz w:val="24"/>
          <w:szCs w:val="24"/>
        </w:rPr>
      </w:pPr>
      <w:r w:rsidRPr="00781608">
        <w:rPr>
          <w:rFonts w:asciiTheme="minorHAnsi" w:eastAsia="Times New Roman" w:hAnsiTheme="minorHAnsi" w:cstheme="minorHAnsi"/>
          <w:b/>
          <w:bCs/>
          <w:sz w:val="24"/>
          <w:szCs w:val="24"/>
        </w:rPr>
        <w:t>Compliance</w:t>
      </w:r>
      <w:r w:rsidR="00CF6614" w:rsidRPr="00781608">
        <w:rPr>
          <w:rFonts w:asciiTheme="minorHAnsi" w:eastAsia="Times New Roman" w:hAnsiTheme="minorHAnsi" w:cstheme="minorHAnsi"/>
          <w:b/>
          <w:bCs/>
          <w:sz w:val="24"/>
          <w:szCs w:val="24"/>
        </w:rPr>
        <w:t xml:space="preserve">: </w:t>
      </w:r>
      <w:r w:rsidR="00CF6614" w:rsidRPr="00781608">
        <w:rPr>
          <w:rFonts w:asciiTheme="minorHAnsi" w:eastAsia="Times New Roman" w:hAnsiTheme="minorHAnsi" w:cstheme="minorHAnsi"/>
          <w:sz w:val="24"/>
          <w:szCs w:val="24"/>
        </w:rPr>
        <w:t xml:space="preserve">It is to submit that power purchase cost shown in Form 2 is overall power purchase cost incurred by GUVNL for all four distribution companies whereas power purchase cost of Rs. 4.24 / kWh is pertaining to UGVCL. </w:t>
      </w:r>
      <w:r w:rsidR="00E07B58" w:rsidRPr="00781608">
        <w:rPr>
          <w:rFonts w:asciiTheme="minorHAnsi" w:eastAsia="Times New Roman" w:hAnsiTheme="minorHAnsi" w:cstheme="minorHAnsi"/>
          <w:sz w:val="24"/>
          <w:szCs w:val="24"/>
        </w:rPr>
        <w:t>Calculation of power purchase cost of Rs. 4.24/kWh is as under:</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327"/>
        <w:gridCol w:w="1327"/>
        <w:gridCol w:w="2721"/>
      </w:tblGrid>
      <w:tr w:rsidR="003C247B" w:rsidRPr="00781608" w14:paraId="17EC7D2F" w14:textId="77777777" w:rsidTr="006E2D9F">
        <w:trPr>
          <w:trHeight w:val="300"/>
        </w:trPr>
        <w:tc>
          <w:tcPr>
            <w:tcW w:w="2988" w:type="dxa"/>
            <w:shd w:val="clear" w:color="000000" w:fill="DDEBF7"/>
            <w:noWrap/>
            <w:hideMark/>
          </w:tcPr>
          <w:p w14:paraId="2CA8329C" w14:textId="77777777" w:rsidR="00E07B58" w:rsidRPr="00781608" w:rsidRDefault="00E07B58" w:rsidP="00E85684">
            <w:pPr>
              <w:spacing w:line="276" w:lineRule="auto"/>
              <w:rPr>
                <w:rFonts w:asciiTheme="minorHAnsi" w:eastAsia="Times New Roman" w:hAnsiTheme="minorHAnsi" w:cstheme="minorHAnsi"/>
                <w:b/>
                <w:bCs/>
              </w:rPr>
            </w:pPr>
            <w:r w:rsidRPr="00781608">
              <w:rPr>
                <w:rFonts w:asciiTheme="minorHAnsi" w:eastAsia="Times New Roman" w:hAnsiTheme="minorHAnsi" w:cstheme="minorHAnsi"/>
                <w:b/>
                <w:bCs/>
              </w:rPr>
              <w:t>Particular</w:t>
            </w:r>
          </w:p>
        </w:tc>
        <w:tc>
          <w:tcPr>
            <w:tcW w:w="1327" w:type="dxa"/>
            <w:shd w:val="clear" w:color="000000" w:fill="DDEBF7"/>
            <w:hideMark/>
          </w:tcPr>
          <w:p w14:paraId="4BAA5FB7" w14:textId="77777777" w:rsidR="00E07B58" w:rsidRPr="00781608" w:rsidRDefault="006E2D9F" w:rsidP="00E85684">
            <w:pPr>
              <w:spacing w:line="276" w:lineRule="auto"/>
              <w:rPr>
                <w:rFonts w:asciiTheme="minorHAnsi" w:eastAsia="Times New Roman" w:hAnsiTheme="minorHAnsi" w:cstheme="minorHAnsi"/>
                <w:b/>
                <w:bCs/>
              </w:rPr>
            </w:pPr>
            <w:r w:rsidRPr="00781608">
              <w:rPr>
                <w:rFonts w:asciiTheme="minorHAnsi" w:eastAsia="Times New Roman" w:hAnsiTheme="minorHAnsi" w:cstheme="minorHAnsi"/>
                <w:b/>
                <w:bCs/>
              </w:rPr>
              <w:t>Unit</w:t>
            </w:r>
          </w:p>
        </w:tc>
        <w:tc>
          <w:tcPr>
            <w:tcW w:w="1327" w:type="dxa"/>
            <w:shd w:val="clear" w:color="000000" w:fill="DDEBF7"/>
            <w:hideMark/>
          </w:tcPr>
          <w:p w14:paraId="6226CF89" w14:textId="77777777" w:rsidR="00E07B58" w:rsidRPr="00781608" w:rsidRDefault="006E2D9F" w:rsidP="00E85684">
            <w:pPr>
              <w:spacing w:line="276" w:lineRule="auto"/>
              <w:rPr>
                <w:rFonts w:asciiTheme="minorHAnsi" w:eastAsia="Times New Roman" w:hAnsiTheme="minorHAnsi" w:cstheme="minorHAnsi"/>
                <w:b/>
                <w:bCs/>
              </w:rPr>
            </w:pPr>
            <w:r w:rsidRPr="00781608">
              <w:rPr>
                <w:rFonts w:asciiTheme="minorHAnsi" w:eastAsia="Times New Roman" w:hAnsiTheme="minorHAnsi" w:cstheme="minorHAnsi"/>
                <w:b/>
                <w:bCs/>
              </w:rPr>
              <w:t>Amount</w:t>
            </w:r>
          </w:p>
        </w:tc>
        <w:tc>
          <w:tcPr>
            <w:tcW w:w="2721" w:type="dxa"/>
            <w:shd w:val="clear" w:color="000000" w:fill="DDEBF7"/>
            <w:hideMark/>
          </w:tcPr>
          <w:p w14:paraId="05F4B5BB" w14:textId="77777777" w:rsidR="00E07B58" w:rsidRPr="00781608" w:rsidRDefault="006E2D9F" w:rsidP="00E85684">
            <w:pPr>
              <w:spacing w:line="276" w:lineRule="auto"/>
              <w:rPr>
                <w:rFonts w:asciiTheme="minorHAnsi" w:eastAsia="Times New Roman" w:hAnsiTheme="minorHAnsi" w:cstheme="minorHAnsi"/>
                <w:b/>
                <w:bCs/>
              </w:rPr>
            </w:pPr>
            <w:r w:rsidRPr="00781608">
              <w:rPr>
                <w:rFonts w:asciiTheme="minorHAnsi" w:eastAsia="Times New Roman" w:hAnsiTheme="minorHAnsi" w:cstheme="minorHAnsi"/>
                <w:b/>
                <w:bCs/>
              </w:rPr>
              <w:t>Remark</w:t>
            </w:r>
          </w:p>
        </w:tc>
      </w:tr>
      <w:tr w:rsidR="003C247B" w:rsidRPr="00781608" w14:paraId="00540FC1" w14:textId="77777777" w:rsidTr="006E2D9F">
        <w:trPr>
          <w:trHeight w:val="300"/>
        </w:trPr>
        <w:tc>
          <w:tcPr>
            <w:tcW w:w="2988" w:type="dxa"/>
            <w:shd w:val="clear" w:color="auto" w:fill="auto"/>
            <w:hideMark/>
          </w:tcPr>
          <w:p w14:paraId="668B3B07" w14:textId="77777777" w:rsidR="00E07B58" w:rsidRPr="00781608" w:rsidRDefault="00E07B58"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Power Purchase Cost</w:t>
            </w:r>
          </w:p>
        </w:tc>
        <w:tc>
          <w:tcPr>
            <w:tcW w:w="1327" w:type="dxa"/>
            <w:shd w:val="clear" w:color="auto" w:fill="auto"/>
            <w:noWrap/>
            <w:hideMark/>
          </w:tcPr>
          <w:p w14:paraId="06647C46" w14:textId="77777777" w:rsidR="00E07B58" w:rsidRPr="00781608" w:rsidRDefault="00E07B58" w:rsidP="00E85684">
            <w:pPr>
              <w:spacing w:line="276" w:lineRule="auto"/>
              <w:jc w:val="center"/>
              <w:rPr>
                <w:rFonts w:asciiTheme="minorHAnsi" w:eastAsia="Times New Roman" w:hAnsiTheme="minorHAnsi" w:cstheme="minorHAnsi"/>
              </w:rPr>
            </w:pPr>
            <w:r w:rsidRPr="00781608">
              <w:rPr>
                <w:rFonts w:asciiTheme="minorHAnsi" w:eastAsia="Times New Roman" w:hAnsiTheme="minorHAnsi" w:cstheme="minorHAnsi"/>
              </w:rPr>
              <w:t>Rs. Crore</w:t>
            </w:r>
          </w:p>
        </w:tc>
        <w:tc>
          <w:tcPr>
            <w:tcW w:w="1327" w:type="dxa"/>
            <w:shd w:val="clear" w:color="auto" w:fill="auto"/>
            <w:noWrap/>
          </w:tcPr>
          <w:p w14:paraId="58003F27" w14:textId="77777777" w:rsidR="00E07B58" w:rsidRPr="00781608" w:rsidRDefault="006E2D9F"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10,949.27</w:t>
            </w:r>
          </w:p>
        </w:tc>
        <w:tc>
          <w:tcPr>
            <w:tcW w:w="2721" w:type="dxa"/>
            <w:shd w:val="clear" w:color="auto" w:fill="auto"/>
            <w:noWrap/>
          </w:tcPr>
          <w:p w14:paraId="1C839E13" w14:textId="77777777" w:rsidR="00E07B58" w:rsidRPr="00781608" w:rsidRDefault="006E2D9F"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Table 13 of the Petition</w:t>
            </w:r>
          </w:p>
        </w:tc>
      </w:tr>
      <w:tr w:rsidR="003C247B" w:rsidRPr="00781608" w14:paraId="41667323" w14:textId="77777777" w:rsidTr="006E2D9F">
        <w:trPr>
          <w:trHeight w:val="300"/>
        </w:trPr>
        <w:tc>
          <w:tcPr>
            <w:tcW w:w="2988" w:type="dxa"/>
            <w:shd w:val="clear" w:color="auto" w:fill="auto"/>
            <w:hideMark/>
          </w:tcPr>
          <w:p w14:paraId="33ED1237" w14:textId="77777777" w:rsidR="00E07B58" w:rsidRPr="00781608" w:rsidRDefault="00E07B58"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Power Purchase</w:t>
            </w:r>
            <w:r w:rsidR="006E2D9F" w:rsidRPr="00781608">
              <w:rPr>
                <w:rFonts w:asciiTheme="minorHAnsi" w:eastAsia="Times New Roman" w:hAnsiTheme="minorHAnsi" w:cstheme="minorHAnsi"/>
              </w:rPr>
              <w:t xml:space="preserve"> Quantum</w:t>
            </w:r>
          </w:p>
        </w:tc>
        <w:tc>
          <w:tcPr>
            <w:tcW w:w="1327" w:type="dxa"/>
            <w:shd w:val="clear" w:color="auto" w:fill="auto"/>
            <w:noWrap/>
            <w:hideMark/>
          </w:tcPr>
          <w:p w14:paraId="28E09D2D" w14:textId="77777777" w:rsidR="00E07B58" w:rsidRPr="00781608" w:rsidRDefault="00E07B58" w:rsidP="00E85684">
            <w:pPr>
              <w:spacing w:line="276" w:lineRule="auto"/>
              <w:jc w:val="center"/>
              <w:rPr>
                <w:rFonts w:asciiTheme="minorHAnsi" w:eastAsia="Times New Roman" w:hAnsiTheme="minorHAnsi" w:cstheme="minorHAnsi"/>
              </w:rPr>
            </w:pPr>
            <w:r w:rsidRPr="00781608">
              <w:rPr>
                <w:rFonts w:asciiTheme="minorHAnsi" w:eastAsia="Times New Roman" w:hAnsiTheme="minorHAnsi" w:cstheme="minorHAnsi"/>
              </w:rPr>
              <w:t>MU</w:t>
            </w:r>
          </w:p>
        </w:tc>
        <w:tc>
          <w:tcPr>
            <w:tcW w:w="1327" w:type="dxa"/>
            <w:shd w:val="clear" w:color="auto" w:fill="auto"/>
            <w:noWrap/>
          </w:tcPr>
          <w:p w14:paraId="4BFA9D5D" w14:textId="77777777" w:rsidR="00E07B58" w:rsidRPr="00781608" w:rsidRDefault="006E2D9F"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25,819.26</w:t>
            </w:r>
          </w:p>
        </w:tc>
        <w:tc>
          <w:tcPr>
            <w:tcW w:w="2721" w:type="dxa"/>
            <w:shd w:val="clear" w:color="auto" w:fill="auto"/>
            <w:noWrap/>
          </w:tcPr>
          <w:p w14:paraId="6873E6B4" w14:textId="77777777" w:rsidR="00E07B58" w:rsidRPr="00781608" w:rsidRDefault="006E2D9F"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Table 10 of the Petition</w:t>
            </w:r>
          </w:p>
        </w:tc>
      </w:tr>
      <w:tr w:rsidR="006E2D9F" w:rsidRPr="00781608" w14:paraId="411DC344" w14:textId="77777777" w:rsidTr="006E2D9F">
        <w:trPr>
          <w:trHeight w:val="300"/>
        </w:trPr>
        <w:tc>
          <w:tcPr>
            <w:tcW w:w="2988" w:type="dxa"/>
            <w:shd w:val="clear" w:color="auto" w:fill="auto"/>
          </w:tcPr>
          <w:p w14:paraId="125BE733" w14:textId="77777777" w:rsidR="006E2D9F" w:rsidRPr="00781608" w:rsidRDefault="006E2D9F"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Average Power Purchase Cost</w:t>
            </w:r>
          </w:p>
        </w:tc>
        <w:tc>
          <w:tcPr>
            <w:tcW w:w="1327" w:type="dxa"/>
            <w:shd w:val="clear" w:color="auto" w:fill="auto"/>
            <w:noWrap/>
          </w:tcPr>
          <w:p w14:paraId="6AC14F10" w14:textId="77777777" w:rsidR="006E2D9F" w:rsidRPr="00781608" w:rsidRDefault="006E2D9F" w:rsidP="00E85684">
            <w:pPr>
              <w:spacing w:line="276" w:lineRule="auto"/>
              <w:jc w:val="center"/>
              <w:rPr>
                <w:rFonts w:asciiTheme="minorHAnsi" w:eastAsia="Times New Roman" w:hAnsiTheme="minorHAnsi" w:cstheme="minorHAnsi"/>
              </w:rPr>
            </w:pPr>
            <w:proofErr w:type="gramStart"/>
            <w:r w:rsidRPr="00781608">
              <w:rPr>
                <w:rFonts w:asciiTheme="minorHAnsi" w:eastAsia="Times New Roman" w:hAnsiTheme="minorHAnsi" w:cstheme="minorHAnsi"/>
              </w:rPr>
              <w:t>Rs./</w:t>
            </w:r>
            <w:proofErr w:type="gramEnd"/>
            <w:r w:rsidRPr="00781608">
              <w:rPr>
                <w:rFonts w:asciiTheme="minorHAnsi" w:eastAsia="Times New Roman" w:hAnsiTheme="minorHAnsi" w:cstheme="minorHAnsi"/>
              </w:rPr>
              <w:t>kWh</w:t>
            </w:r>
          </w:p>
        </w:tc>
        <w:tc>
          <w:tcPr>
            <w:tcW w:w="1327" w:type="dxa"/>
            <w:shd w:val="clear" w:color="auto" w:fill="auto"/>
            <w:noWrap/>
          </w:tcPr>
          <w:p w14:paraId="15031A37" w14:textId="77777777" w:rsidR="006E2D9F" w:rsidRPr="00781608" w:rsidRDefault="006E2D9F"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4.24</w:t>
            </w:r>
          </w:p>
        </w:tc>
        <w:tc>
          <w:tcPr>
            <w:tcW w:w="2721" w:type="dxa"/>
            <w:shd w:val="clear" w:color="auto" w:fill="auto"/>
            <w:noWrap/>
          </w:tcPr>
          <w:p w14:paraId="33117E0F" w14:textId="77777777" w:rsidR="006E2D9F" w:rsidRPr="00781608" w:rsidRDefault="006E2D9F" w:rsidP="00E85684">
            <w:pPr>
              <w:spacing w:line="276" w:lineRule="auto"/>
              <w:jc w:val="right"/>
              <w:rPr>
                <w:rFonts w:asciiTheme="minorHAnsi" w:eastAsia="Times New Roman" w:hAnsiTheme="minorHAnsi" w:cstheme="minorHAnsi"/>
              </w:rPr>
            </w:pPr>
          </w:p>
        </w:tc>
      </w:tr>
    </w:tbl>
    <w:p w14:paraId="2DD8DBED" w14:textId="77777777" w:rsidR="00CF6614" w:rsidRPr="00781608" w:rsidRDefault="00CF6614" w:rsidP="00E85684">
      <w:pPr>
        <w:pStyle w:val="ydp360db5b4yiv6248630976msolistparagraph"/>
        <w:spacing w:beforeAutospacing="0" w:after="200" w:afterAutospacing="0" w:line="276" w:lineRule="auto"/>
        <w:jc w:val="both"/>
        <w:rPr>
          <w:rFonts w:asciiTheme="minorHAnsi" w:hAnsiTheme="minorHAnsi" w:cstheme="minorHAnsi"/>
          <w:b/>
          <w:bCs/>
          <w:sz w:val="24"/>
          <w:szCs w:val="24"/>
        </w:rPr>
      </w:pPr>
    </w:p>
    <w:p w14:paraId="7379CCDD" w14:textId="77777777" w:rsidR="00961353" w:rsidRPr="00781608" w:rsidRDefault="00A56DF7" w:rsidP="00E85684">
      <w:pPr>
        <w:pStyle w:val="ydp360db5b4yiv6248630976msolistparagraph"/>
        <w:numPr>
          <w:ilvl w:val="0"/>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t xml:space="preserve">UGVCL has submitted the scheme-wise capitalisation in FY 2020-21. UGVCL should submit the scheme-wise capital expenditure in FY 2020-21, along with the details of Opening CWIP, Capitalisation against CWIP and new Schemes, and Closing CWIP for FY 2020-21. </w:t>
      </w:r>
    </w:p>
    <w:p w14:paraId="22B53C37" w14:textId="12EC1B03" w:rsidR="00934E88" w:rsidRPr="00781608" w:rsidRDefault="00934E88" w:rsidP="00934E88">
      <w:pPr>
        <w:pStyle w:val="ydp360db5b4yiv6248630976msolistparagraph"/>
        <w:spacing w:beforeAutospacing="0" w:after="200" w:afterAutospacing="0" w:line="276" w:lineRule="auto"/>
        <w:ind w:left="720"/>
        <w:jc w:val="both"/>
        <w:rPr>
          <w:rFonts w:asciiTheme="minorHAnsi" w:hAnsiTheme="minorHAnsi" w:cstheme="minorHAnsi"/>
          <w:b/>
          <w:bCs/>
          <w:sz w:val="24"/>
          <w:szCs w:val="24"/>
        </w:rPr>
      </w:pPr>
      <w:r w:rsidRPr="00483BB1">
        <w:rPr>
          <w:rFonts w:asciiTheme="minorHAnsi" w:eastAsia="Times New Roman" w:hAnsiTheme="minorHAnsi" w:cstheme="minorHAnsi"/>
          <w:b/>
          <w:bCs/>
          <w:sz w:val="24"/>
          <w:szCs w:val="24"/>
        </w:rPr>
        <w:t xml:space="preserve">Compliance: </w:t>
      </w:r>
      <w:r w:rsidR="00483BB1" w:rsidRPr="00483BB1">
        <w:rPr>
          <w:rFonts w:asciiTheme="minorHAnsi" w:eastAsia="Times New Roman" w:hAnsiTheme="minorHAnsi" w:cstheme="minorHAnsi"/>
          <w:b/>
          <w:bCs/>
          <w:sz w:val="24"/>
          <w:szCs w:val="24"/>
        </w:rPr>
        <w:t>Detail of scheme wise CWIP is provided as an Annexure – B.</w:t>
      </w:r>
    </w:p>
    <w:p w14:paraId="1DD3BC43" w14:textId="77777777" w:rsidR="00961353" w:rsidRPr="001135D2" w:rsidRDefault="00A56DF7" w:rsidP="00E85684">
      <w:pPr>
        <w:pStyle w:val="ydp360db5b4yiv6248630976msolistparagraph"/>
        <w:numPr>
          <w:ilvl w:val="0"/>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t xml:space="preserve">UGVCL should give reasons for not incurring capex against approved scheme i.e., Plan Load Management Transformer, RAPDRP Part A, SCADA Part A, Smart Grid, </w:t>
      </w:r>
      <w:r w:rsidRPr="00781608">
        <w:rPr>
          <w:rFonts w:asciiTheme="minorHAnsi" w:eastAsia="Times New Roman" w:hAnsiTheme="minorHAnsi" w:cstheme="minorHAnsi"/>
          <w:sz w:val="24"/>
          <w:szCs w:val="24"/>
        </w:rPr>
        <w:lastRenderedPageBreak/>
        <w:t xml:space="preserve">Energy Conservation, GIS in cities, Other Schemes (Earthing), Other Repairing Work/Civil Work and DSM., as seen </w:t>
      </w:r>
      <w:r w:rsidRPr="001135D2">
        <w:rPr>
          <w:rFonts w:asciiTheme="minorHAnsi" w:eastAsia="Times New Roman" w:hAnsiTheme="minorHAnsi" w:cstheme="minorHAnsi"/>
          <w:sz w:val="24"/>
          <w:szCs w:val="24"/>
        </w:rPr>
        <w:t xml:space="preserve">in the Table 16 of the Petition. </w:t>
      </w:r>
    </w:p>
    <w:p w14:paraId="52D8107C" w14:textId="4EF8DBDD" w:rsidR="002F2F2B" w:rsidRPr="001135D2" w:rsidRDefault="008E2BCF" w:rsidP="001135D2">
      <w:pPr>
        <w:spacing w:before="200" w:line="312" w:lineRule="atLeast"/>
        <w:ind w:left="720"/>
        <w:jc w:val="both"/>
        <w:rPr>
          <w:rFonts w:asciiTheme="minorHAnsi" w:hAnsiTheme="minorHAnsi" w:cstheme="minorHAnsi"/>
          <w:color w:val="000000"/>
          <w:sz w:val="24"/>
          <w:szCs w:val="24"/>
          <w:lang w:bidi="gu-IN"/>
        </w:rPr>
      </w:pPr>
      <w:r w:rsidRPr="001135D2">
        <w:rPr>
          <w:rFonts w:asciiTheme="minorHAnsi" w:eastAsia="Times New Roman" w:hAnsiTheme="minorHAnsi" w:cstheme="minorHAnsi"/>
          <w:b/>
          <w:bCs/>
          <w:sz w:val="24"/>
          <w:szCs w:val="24"/>
        </w:rPr>
        <w:t xml:space="preserve">Compliance: </w:t>
      </w:r>
      <w:r w:rsidR="002F2F2B" w:rsidRPr="001135D2">
        <w:rPr>
          <w:rFonts w:asciiTheme="minorHAnsi" w:eastAsia="Times New Roman" w:hAnsiTheme="minorHAnsi" w:cstheme="minorHAnsi"/>
          <w:sz w:val="24"/>
          <w:szCs w:val="24"/>
        </w:rPr>
        <w:t>For</w:t>
      </w:r>
      <w:r w:rsidR="002F2F2B" w:rsidRPr="001135D2">
        <w:rPr>
          <w:rFonts w:asciiTheme="minorHAnsi" w:hAnsiTheme="minorHAnsi" w:cstheme="minorHAnsi"/>
          <w:color w:val="000000"/>
          <w:sz w:val="24"/>
          <w:szCs w:val="24"/>
          <w:lang w:bidi="gu-IN"/>
        </w:rPr>
        <w:t xml:space="preserve"> </w:t>
      </w:r>
      <w:r w:rsidR="002F2F2B" w:rsidRPr="001135D2">
        <w:rPr>
          <w:rFonts w:asciiTheme="minorHAnsi" w:eastAsia="Times New Roman" w:hAnsiTheme="minorHAnsi" w:cstheme="minorHAnsi"/>
          <w:sz w:val="24"/>
          <w:szCs w:val="24"/>
        </w:rPr>
        <w:t>RAPDRP Part A,</w:t>
      </w:r>
      <w:r w:rsidR="002F2F2B" w:rsidRPr="001135D2">
        <w:rPr>
          <w:rFonts w:asciiTheme="minorHAnsi" w:hAnsiTheme="minorHAnsi" w:cstheme="minorHAnsi"/>
          <w:color w:val="000000"/>
          <w:sz w:val="24"/>
          <w:szCs w:val="24"/>
          <w:lang w:bidi="gu-IN"/>
        </w:rPr>
        <w:t xml:space="preserve"> Facility Management Services (FMS) </w:t>
      </w:r>
      <w:r w:rsidR="006D78F8" w:rsidRPr="001135D2">
        <w:rPr>
          <w:rFonts w:asciiTheme="minorHAnsi" w:hAnsiTheme="minorHAnsi" w:cstheme="minorHAnsi"/>
          <w:color w:val="000000"/>
          <w:sz w:val="24"/>
          <w:szCs w:val="24"/>
          <w:lang w:bidi="gu-IN"/>
        </w:rPr>
        <w:t>wa</w:t>
      </w:r>
      <w:r w:rsidR="002F2F2B" w:rsidRPr="001135D2">
        <w:rPr>
          <w:rFonts w:asciiTheme="minorHAnsi" w:hAnsiTheme="minorHAnsi" w:cstheme="minorHAnsi"/>
          <w:color w:val="000000"/>
          <w:sz w:val="24"/>
          <w:szCs w:val="24"/>
          <w:lang w:bidi="gu-IN"/>
        </w:rPr>
        <w:t xml:space="preserve">s not started &amp; Smart Grid FMS is going on. SCADA Part-A </w:t>
      </w:r>
      <w:r w:rsidR="006D78F8" w:rsidRPr="001135D2">
        <w:rPr>
          <w:rFonts w:asciiTheme="minorHAnsi" w:hAnsiTheme="minorHAnsi" w:cstheme="minorHAnsi"/>
          <w:color w:val="000000"/>
          <w:sz w:val="24"/>
          <w:szCs w:val="24"/>
          <w:lang w:bidi="gu-IN"/>
        </w:rPr>
        <w:t>wa</w:t>
      </w:r>
      <w:r w:rsidR="002F2F2B" w:rsidRPr="001135D2">
        <w:rPr>
          <w:rFonts w:asciiTheme="minorHAnsi" w:hAnsiTheme="minorHAnsi" w:cstheme="minorHAnsi"/>
          <w:color w:val="000000"/>
          <w:sz w:val="24"/>
          <w:szCs w:val="24"/>
          <w:lang w:bidi="gu-IN"/>
        </w:rPr>
        <w:t xml:space="preserve">s short close. </w:t>
      </w:r>
      <w:r w:rsidRPr="001135D2">
        <w:rPr>
          <w:rFonts w:asciiTheme="minorHAnsi" w:hAnsiTheme="minorHAnsi" w:cstheme="minorHAnsi"/>
          <w:color w:val="000000"/>
          <w:sz w:val="24"/>
          <w:szCs w:val="24"/>
          <w:lang w:bidi="gu-IN"/>
        </w:rPr>
        <w:t xml:space="preserve">Other Repairing Work/Civil Work </w:t>
      </w:r>
      <w:r w:rsidR="006D78F8" w:rsidRPr="001135D2">
        <w:rPr>
          <w:rFonts w:asciiTheme="minorHAnsi" w:hAnsiTheme="minorHAnsi" w:cstheme="minorHAnsi"/>
          <w:color w:val="000000"/>
          <w:sz w:val="24"/>
          <w:szCs w:val="24"/>
          <w:lang w:bidi="gu-IN"/>
        </w:rPr>
        <w:t>were</w:t>
      </w:r>
      <w:r w:rsidRPr="001135D2">
        <w:rPr>
          <w:rFonts w:asciiTheme="minorHAnsi" w:hAnsiTheme="minorHAnsi" w:cstheme="minorHAnsi"/>
          <w:color w:val="000000"/>
          <w:sz w:val="24"/>
          <w:szCs w:val="24"/>
          <w:lang w:bidi="gu-IN"/>
        </w:rPr>
        <w:t xml:space="preserve"> suffered due to Covid -19 pandemic</w:t>
      </w:r>
      <w:r w:rsidR="001135D2" w:rsidRPr="001135D2">
        <w:rPr>
          <w:rFonts w:asciiTheme="minorHAnsi" w:hAnsiTheme="minorHAnsi" w:cstheme="minorHAnsi"/>
          <w:color w:val="000000"/>
          <w:sz w:val="24"/>
          <w:szCs w:val="24"/>
          <w:lang w:bidi="gu-IN"/>
        </w:rPr>
        <w:t>.</w:t>
      </w:r>
      <w:r w:rsidRPr="001135D2">
        <w:rPr>
          <w:rFonts w:asciiTheme="minorHAnsi" w:hAnsiTheme="minorHAnsi" w:cstheme="minorHAnsi"/>
          <w:color w:val="000000"/>
          <w:sz w:val="24"/>
          <w:szCs w:val="24"/>
          <w:lang w:bidi="gu-IN"/>
        </w:rPr>
        <w:t xml:space="preserve"> </w:t>
      </w:r>
      <w:proofErr w:type="spellStart"/>
      <w:r w:rsidRPr="001135D2">
        <w:rPr>
          <w:rFonts w:asciiTheme="minorHAnsi" w:hAnsiTheme="minorHAnsi" w:cstheme="minorHAnsi"/>
          <w:color w:val="000000"/>
          <w:sz w:val="24"/>
          <w:szCs w:val="24"/>
          <w:lang w:bidi="gu-IN"/>
        </w:rPr>
        <w:t>Dehgam</w:t>
      </w:r>
      <w:proofErr w:type="spellEnd"/>
      <w:r w:rsidRPr="001135D2">
        <w:rPr>
          <w:rFonts w:asciiTheme="minorHAnsi" w:hAnsiTheme="minorHAnsi" w:cstheme="minorHAnsi"/>
          <w:color w:val="000000"/>
          <w:sz w:val="24"/>
          <w:szCs w:val="24"/>
          <w:lang w:bidi="gu-IN"/>
        </w:rPr>
        <w:t xml:space="preserve"> project did not start by contractor due to technical reason and </w:t>
      </w:r>
      <w:proofErr w:type="spellStart"/>
      <w:r w:rsidRPr="001135D2">
        <w:rPr>
          <w:rFonts w:asciiTheme="minorHAnsi" w:hAnsiTheme="minorHAnsi" w:cstheme="minorHAnsi"/>
          <w:color w:val="000000"/>
          <w:sz w:val="24"/>
          <w:szCs w:val="24"/>
          <w:lang w:bidi="gu-IN"/>
        </w:rPr>
        <w:t>chiloda</w:t>
      </w:r>
      <w:proofErr w:type="spellEnd"/>
      <w:r w:rsidRPr="001135D2">
        <w:rPr>
          <w:rFonts w:asciiTheme="minorHAnsi" w:hAnsiTheme="minorHAnsi" w:cstheme="minorHAnsi"/>
          <w:color w:val="000000"/>
          <w:sz w:val="24"/>
          <w:szCs w:val="24"/>
          <w:lang w:bidi="gu-IN"/>
        </w:rPr>
        <w:t xml:space="preserve"> and </w:t>
      </w:r>
      <w:proofErr w:type="spellStart"/>
      <w:r w:rsidRPr="001135D2">
        <w:rPr>
          <w:rFonts w:asciiTheme="minorHAnsi" w:hAnsiTheme="minorHAnsi" w:cstheme="minorHAnsi"/>
          <w:color w:val="000000"/>
          <w:sz w:val="24"/>
          <w:szCs w:val="24"/>
          <w:lang w:bidi="gu-IN"/>
        </w:rPr>
        <w:t>patan</w:t>
      </w:r>
      <w:proofErr w:type="spellEnd"/>
      <w:r w:rsidRPr="001135D2">
        <w:rPr>
          <w:rFonts w:asciiTheme="minorHAnsi" w:hAnsiTheme="minorHAnsi" w:cstheme="minorHAnsi"/>
          <w:color w:val="000000"/>
          <w:sz w:val="24"/>
          <w:szCs w:val="24"/>
          <w:lang w:bidi="gu-IN"/>
        </w:rPr>
        <w:t xml:space="preserve"> project </w:t>
      </w:r>
      <w:r w:rsidR="006D78F8" w:rsidRPr="001135D2">
        <w:rPr>
          <w:rFonts w:asciiTheme="minorHAnsi" w:hAnsiTheme="minorHAnsi" w:cstheme="minorHAnsi"/>
          <w:color w:val="000000"/>
          <w:sz w:val="24"/>
          <w:szCs w:val="24"/>
          <w:lang w:bidi="gu-IN"/>
        </w:rPr>
        <w:t xml:space="preserve">were </w:t>
      </w:r>
      <w:r w:rsidRPr="001135D2">
        <w:rPr>
          <w:rFonts w:asciiTheme="minorHAnsi" w:hAnsiTheme="minorHAnsi" w:cstheme="minorHAnsi"/>
          <w:color w:val="000000"/>
          <w:sz w:val="24"/>
          <w:szCs w:val="24"/>
          <w:lang w:bidi="gu-IN"/>
        </w:rPr>
        <w:t>delayed due to land issue.</w:t>
      </w:r>
      <w:r w:rsidR="001135D2" w:rsidRPr="001135D2">
        <w:rPr>
          <w:rFonts w:asciiTheme="minorHAnsi" w:hAnsiTheme="minorHAnsi" w:cstheme="minorHAnsi"/>
          <w:color w:val="000000"/>
          <w:sz w:val="24"/>
          <w:szCs w:val="24"/>
          <w:lang w:bidi="gu-IN"/>
        </w:rPr>
        <w:t xml:space="preserve"> While o</w:t>
      </w:r>
      <w:r w:rsidR="002F2F2B" w:rsidRPr="001135D2">
        <w:rPr>
          <w:rFonts w:asciiTheme="minorHAnsi" w:hAnsiTheme="minorHAnsi" w:cstheme="minorHAnsi"/>
          <w:color w:val="000000"/>
          <w:sz w:val="24"/>
          <w:szCs w:val="24"/>
          <w:lang w:bidi="gu-IN"/>
        </w:rPr>
        <w:t>ther schemes</w:t>
      </w:r>
      <w:r w:rsidR="006D78F8" w:rsidRPr="001135D2">
        <w:rPr>
          <w:rFonts w:asciiTheme="minorHAnsi" w:hAnsiTheme="minorHAnsi" w:cstheme="minorHAnsi"/>
          <w:color w:val="000000"/>
          <w:sz w:val="24"/>
          <w:szCs w:val="24"/>
          <w:lang w:bidi="gu-IN"/>
        </w:rPr>
        <w:t xml:space="preserve"> were </w:t>
      </w:r>
      <w:r w:rsidR="002F2F2B" w:rsidRPr="001135D2">
        <w:rPr>
          <w:rFonts w:asciiTheme="minorHAnsi" w:hAnsiTheme="minorHAnsi" w:cstheme="minorHAnsi"/>
          <w:color w:val="000000"/>
          <w:sz w:val="24"/>
          <w:szCs w:val="24"/>
          <w:lang w:bidi="gu-IN"/>
        </w:rPr>
        <w:t>not finalized</w:t>
      </w:r>
      <w:r w:rsidR="0084051A" w:rsidRPr="001135D2">
        <w:rPr>
          <w:rFonts w:asciiTheme="minorHAnsi" w:hAnsiTheme="minorHAnsi" w:cstheme="minorHAnsi"/>
          <w:color w:val="000000"/>
          <w:sz w:val="24"/>
          <w:szCs w:val="24"/>
          <w:lang w:bidi="gu-IN"/>
        </w:rPr>
        <w:t>/incurred</w:t>
      </w:r>
      <w:r w:rsidR="002F2F2B" w:rsidRPr="001135D2">
        <w:rPr>
          <w:rFonts w:asciiTheme="minorHAnsi" w:hAnsiTheme="minorHAnsi" w:cstheme="minorHAnsi"/>
          <w:color w:val="000000"/>
          <w:sz w:val="24"/>
          <w:szCs w:val="24"/>
          <w:lang w:bidi="gu-IN"/>
        </w:rPr>
        <w:t xml:space="preserve"> due to COVID-19 Pandemic.</w:t>
      </w:r>
    </w:p>
    <w:p w14:paraId="45FD53A4" w14:textId="77777777" w:rsidR="0084051A" w:rsidRPr="00781608" w:rsidRDefault="0084051A" w:rsidP="008E2BCF">
      <w:pPr>
        <w:spacing w:before="200" w:line="312" w:lineRule="atLeast"/>
        <w:ind w:left="720"/>
        <w:jc w:val="both"/>
        <w:rPr>
          <w:rFonts w:asciiTheme="minorHAnsi" w:hAnsiTheme="minorHAnsi" w:cstheme="minorHAnsi"/>
          <w:color w:val="000000"/>
          <w:lang w:bidi="gu-IN"/>
        </w:rPr>
      </w:pPr>
    </w:p>
    <w:p w14:paraId="227E9851" w14:textId="77777777" w:rsidR="00961353" w:rsidRPr="00781608" w:rsidRDefault="00A56DF7" w:rsidP="00E85684">
      <w:pPr>
        <w:pStyle w:val="ydp360db5b4yiv6248630976msolistparagraph"/>
        <w:numPr>
          <w:ilvl w:val="0"/>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t>As regards the capital expenditure and capitalisation incurred during FY 2020-21, UGVCL should submit the detailed reasons and justification for increase/(decrease) in cost of all schemes compared to approved scheme cost, with break-up into:</w:t>
      </w:r>
    </w:p>
    <w:p w14:paraId="6DA617D1" w14:textId="77777777" w:rsidR="00961353" w:rsidRPr="00781608" w:rsidRDefault="00A56DF7" w:rsidP="00E85684">
      <w:pPr>
        <w:pStyle w:val="ydp360db5b4yiv6248630976msolistparagraph"/>
        <w:numPr>
          <w:ilvl w:val="1"/>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t xml:space="preserve">Variation due to delay in execution of the project compared to approved timelines, and justification for the </w:t>
      </w:r>
      <w:proofErr w:type="gramStart"/>
      <w:r w:rsidRPr="00781608">
        <w:rPr>
          <w:rFonts w:asciiTheme="minorHAnsi" w:eastAsia="Times New Roman" w:hAnsiTheme="minorHAnsi" w:cstheme="minorHAnsi"/>
          <w:sz w:val="24"/>
          <w:szCs w:val="24"/>
        </w:rPr>
        <w:t>same;</w:t>
      </w:r>
      <w:proofErr w:type="gramEnd"/>
    </w:p>
    <w:p w14:paraId="17EC9634" w14:textId="77777777" w:rsidR="00961353" w:rsidRPr="00781608" w:rsidRDefault="00A56DF7" w:rsidP="00E85684">
      <w:pPr>
        <w:pStyle w:val="ydp360db5b4yiv6248630976msolistparagraph"/>
        <w:numPr>
          <w:ilvl w:val="1"/>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t xml:space="preserve">Variation due to change in scope of work, and justification for the </w:t>
      </w:r>
      <w:proofErr w:type="gramStart"/>
      <w:r w:rsidRPr="00781608">
        <w:rPr>
          <w:rFonts w:asciiTheme="minorHAnsi" w:eastAsia="Times New Roman" w:hAnsiTheme="minorHAnsi" w:cstheme="minorHAnsi"/>
          <w:sz w:val="24"/>
          <w:szCs w:val="24"/>
        </w:rPr>
        <w:t>same;</w:t>
      </w:r>
      <w:proofErr w:type="gramEnd"/>
    </w:p>
    <w:p w14:paraId="6A4B044E" w14:textId="77777777" w:rsidR="00961353" w:rsidRPr="00781608" w:rsidRDefault="00A56DF7" w:rsidP="00E85684">
      <w:pPr>
        <w:pStyle w:val="ydp360db5b4yiv6248630976msolistparagraph"/>
        <w:numPr>
          <w:ilvl w:val="1"/>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t>Variation due to increase in price.</w:t>
      </w:r>
    </w:p>
    <w:p w14:paraId="5AF1261C" w14:textId="77777777" w:rsidR="00B30E26" w:rsidRPr="00781608" w:rsidRDefault="00B30E26" w:rsidP="00B30E26">
      <w:pPr>
        <w:pStyle w:val="ListParagraph"/>
        <w:autoSpaceDE w:val="0"/>
        <w:autoSpaceDN w:val="0"/>
        <w:adjustRightInd w:val="0"/>
        <w:jc w:val="both"/>
        <w:rPr>
          <w:rFonts w:asciiTheme="minorHAnsi" w:hAnsiTheme="minorHAnsi" w:cstheme="minorHAnsi"/>
          <w:sz w:val="24"/>
          <w:szCs w:val="24"/>
        </w:rPr>
      </w:pPr>
      <w:bookmarkStart w:id="4" w:name="_Hlk93154749"/>
      <w:r w:rsidRPr="00781608">
        <w:rPr>
          <w:rFonts w:asciiTheme="minorHAnsi" w:hAnsiTheme="minorHAnsi" w:cstheme="minorHAnsi"/>
          <w:b/>
          <w:bCs/>
          <w:sz w:val="24"/>
          <w:szCs w:val="24"/>
        </w:rPr>
        <w:t xml:space="preserve">Compliance: </w:t>
      </w:r>
      <w:r w:rsidRPr="00781608">
        <w:rPr>
          <w:rFonts w:asciiTheme="minorHAnsi" w:hAnsiTheme="minorHAnsi" w:cstheme="minorHAnsi"/>
          <w:sz w:val="24"/>
          <w:szCs w:val="24"/>
        </w:rPr>
        <w:t xml:space="preserve">Most of the capital investment schemes by the UGVCL are of continuous and ongoing nature. These are based on yearly targets set for meeting the supply obligation, providing quality and reliable power to consumers, reduction in losses, release of agriculture connections, etc. Generally, there are no pre-defined timelines as the schemes are further bifurcated into various works under the scheme. For </w:t>
      </w:r>
      <w:proofErr w:type="gramStart"/>
      <w:r w:rsidRPr="00781608">
        <w:rPr>
          <w:rFonts w:asciiTheme="minorHAnsi" w:hAnsiTheme="minorHAnsi" w:cstheme="minorHAnsi"/>
          <w:sz w:val="24"/>
          <w:szCs w:val="24"/>
        </w:rPr>
        <w:t>e.g.</w:t>
      </w:r>
      <w:proofErr w:type="gramEnd"/>
      <w:r w:rsidRPr="00781608">
        <w:rPr>
          <w:rFonts w:asciiTheme="minorHAnsi" w:hAnsiTheme="minorHAnsi" w:cstheme="minorHAnsi"/>
          <w:sz w:val="24"/>
          <w:szCs w:val="24"/>
        </w:rPr>
        <w:t xml:space="preserve"> the system improvement scheme i.e. S.I. scheme incorporates the various activities such as bifurcation of feeders, overhead to underground cable conversion, new substation link line work, aerial bunch conductor, replacement of deteriorated conductor, etc. Since these works are of ongoing nature and the assets created are capitalised within a short </w:t>
      </w:r>
      <w:proofErr w:type="gramStart"/>
      <w:r w:rsidRPr="00781608">
        <w:rPr>
          <w:rFonts w:asciiTheme="minorHAnsi" w:hAnsiTheme="minorHAnsi" w:cstheme="minorHAnsi"/>
          <w:sz w:val="24"/>
          <w:szCs w:val="24"/>
        </w:rPr>
        <w:t>time period</w:t>
      </w:r>
      <w:proofErr w:type="gramEnd"/>
      <w:r w:rsidRPr="00781608">
        <w:rPr>
          <w:rFonts w:asciiTheme="minorHAnsi" w:hAnsiTheme="minorHAnsi" w:cstheme="minorHAnsi"/>
          <w:sz w:val="24"/>
          <w:szCs w:val="24"/>
        </w:rPr>
        <w:t>, most of the capital investment carried out is capitalised in the same year and therefore there is not much capital work in progress to be carried forward.</w:t>
      </w:r>
    </w:p>
    <w:bookmarkEnd w:id="4"/>
    <w:p w14:paraId="704FF116" w14:textId="77777777" w:rsidR="00B30E26" w:rsidRPr="00781608" w:rsidRDefault="00B30E26" w:rsidP="00B30E26">
      <w:pPr>
        <w:pStyle w:val="ListParagraph"/>
        <w:autoSpaceDE w:val="0"/>
        <w:autoSpaceDN w:val="0"/>
        <w:adjustRightInd w:val="0"/>
        <w:jc w:val="both"/>
        <w:rPr>
          <w:rFonts w:asciiTheme="minorHAnsi" w:hAnsiTheme="minorHAnsi" w:cstheme="minorHAnsi"/>
          <w:sz w:val="24"/>
          <w:szCs w:val="24"/>
        </w:rPr>
      </w:pPr>
    </w:p>
    <w:p w14:paraId="45E0CEEE" w14:textId="77777777" w:rsidR="00961353" w:rsidRPr="00781608" w:rsidRDefault="00A56DF7" w:rsidP="00E85684">
      <w:pPr>
        <w:pStyle w:val="ydp360db5b4yiv6248630976msolistparagraph"/>
        <w:numPr>
          <w:ilvl w:val="0"/>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hAnsiTheme="minorHAnsi" w:cstheme="minorHAnsi"/>
          <w:sz w:val="24"/>
          <w:szCs w:val="24"/>
        </w:rPr>
        <w:t xml:space="preserve">UGVCL has considered gross capitalisation instead of net capitalisation (net of assets decommissioned) for working out the eligible debt and equity amount for FY 2020-21. Please explain the reasons for the same. </w:t>
      </w:r>
    </w:p>
    <w:p w14:paraId="5C6F56B4" w14:textId="77777777" w:rsidR="00B73945" w:rsidRPr="00781608" w:rsidRDefault="00836677" w:rsidP="00E85684">
      <w:pPr>
        <w:pStyle w:val="ydp360db5b4yiv6248630976msolistparagraph"/>
        <w:spacing w:beforeAutospacing="0" w:after="200" w:afterAutospacing="0" w:line="276" w:lineRule="auto"/>
        <w:ind w:left="720"/>
        <w:jc w:val="both"/>
        <w:rPr>
          <w:rFonts w:asciiTheme="minorHAnsi" w:hAnsiTheme="minorHAnsi" w:cstheme="minorHAnsi"/>
          <w:sz w:val="24"/>
          <w:szCs w:val="24"/>
        </w:rPr>
      </w:pPr>
      <w:r w:rsidRPr="00781608">
        <w:rPr>
          <w:rFonts w:asciiTheme="minorHAnsi" w:hAnsiTheme="minorHAnsi" w:cstheme="minorHAnsi"/>
          <w:b/>
          <w:bCs/>
          <w:sz w:val="24"/>
          <w:szCs w:val="24"/>
        </w:rPr>
        <w:t>Compliance</w:t>
      </w:r>
      <w:r w:rsidR="00A734A3" w:rsidRPr="00781608">
        <w:rPr>
          <w:rFonts w:asciiTheme="minorHAnsi" w:hAnsiTheme="minorHAnsi" w:cstheme="minorHAnsi"/>
          <w:b/>
          <w:bCs/>
          <w:sz w:val="24"/>
          <w:szCs w:val="24"/>
        </w:rPr>
        <w:t>:</w:t>
      </w:r>
      <w:r w:rsidR="00A734A3" w:rsidRPr="00781608">
        <w:rPr>
          <w:rFonts w:asciiTheme="minorHAnsi" w:hAnsiTheme="minorHAnsi" w:cstheme="minorHAnsi"/>
          <w:sz w:val="24"/>
          <w:szCs w:val="24"/>
        </w:rPr>
        <w:t xml:space="preserve"> Discom </w:t>
      </w:r>
      <w:proofErr w:type="gramStart"/>
      <w:r w:rsidR="00A734A3" w:rsidRPr="00781608">
        <w:rPr>
          <w:rFonts w:asciiTheme="minorHAnsi" w:hAnsiTheme="minorHAnsi" w:cstheme="minorHAnsi"/>
          <w:sz w:val="24"/>
          <w:szCs w:val="24"/>
        </w:rPr>
        <w:t>has to</w:t>
      </w:r>
      <w:proofErr w:type="gramEnd"/>
      <w:r w:rsidR="00A734A3" w:rsidRPr="00781608">
        <w:rPr>
          <w:rFonts w:asciiTheme="minorHAnsi" w:hAnsiTheme="minorHAnsi" w:cstheme="minorHAnsi"/>
          <w:sz w:val="24"/>
          <w:szCs w:val="24"/>
        </w:rPr>
        <w:t xml:space="preserve"> raise fund for the new assets (addition) created during the year either in the form of Grant, Consumer contribution, debt or equity </w:t>
      </w:r>
      <w:r w:rsidR="00CB575C" w:rsidRPr="00781608">
        <w:rPr>
          <w:rFonts w:asciiTheme="minorHAnsi" w:hAnsiTheme="minorHAnsi" w:cstheme="minorHAnsi"/>
          <w:sz w:val="24"/>
          <w:szCs w:val="24"/>
        </w:rPr>
        <w:t>whereas</w:t>
      </w:r>
      <w:r w:rsidR="00A734A3" w:rsidRPr="00781608">
        <w:rPr>
          <w:rFonts w:asciiTheme="minorHAnsi" w:hAnsiTheme="minorHAnsi" w:cstheme="minorHAnsi"/>
          <w:sz w:val="24"/>
          <w:szCs w:val="24"/>
        </w:rPr>
        <w:t xml:space="preserve"> benefits of deduction in the assets are taken care in the form of gain/ (loss) in sale of scrap. Hence, Discom has considered Gross capitalization for working out the eligible debt and equity amount for FY 2020-21. </w:t>
      </w:r>
    </w:p>
    <w:p w14:paraId="365E13DA" w14:textId="77777777" w:rsidR="009164C6" w:rsidRPr="00781608" w:rsidRDefault="009164C6" w:rsidP="00E85684">
      <w:pPr>
        <w:pStyle w:val="ydp360db5b4yiv6248630976msolistparagraph"/>
        <w:spacing w:beforeAutospacing="0" w:after="200" w:afterAutospacing="0" w:line="276" w:lineRule="auto"/>
        <w:ind w:left="720"/>
        <w:jc w:val="both"/>
        <w:rPr>
          <w:rFonts w:asciiTheme="minorHAnsi" w:hAnsiTheme="minorHAnsi" w:cstheme="minorHAnsi"/>
          <w:sz w:val="24"/>
          <w:szCs w:val="24"/>
        </w:rPr>
      </w:pPr>
    </w:p>
    <w:p w14:paraId="522C7194" w14:textId="77777777" w:rsidR="00961353" w:rsidRPr="00781608" w:rsidRDefault="00A56DF7" w:rsidP="00E85684">
      <w:pPr>
        <w:pStyle w:val="ydp360db5b4yiv6248630976msolistparagraph"/>
        <w:numPr>
          <w:ilvl w:val="0"/>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lastRenderedPageBreak/>
        <w:t>As regards the Capex Schemes in FY 2020-21, UGVCL should submit the following details:</w:t>
      </w:r>
    </w:p>
    <w:p w14:paraId="0E0E1D60" w14:textId="77777777" w:rsidR="00961353" w:rsidRPr="00781608" w:rsidRDefault="00A56DF7" w:rsidP="00E85684">
      <w:pPr>
        <w:pStyle w:val="ydp360db5b4yiv6248630976msolistparagraph"/>
        <w:numPr>
          <w:ilvl w:val="1"/>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t xml:space="preserve">Actual scheme-wise funding of capitalised works with break-up of Grants, Loans, Consumer Contribution, Equity, </w:t>
      </w:r>
      <w:proofErr w:type="gramStart"/>
      <w:r w:rsidRPr="00781608">
        <w:rPr>
          <w:rFonts w:asciiTheme="minorHAnsi" w:eastAsia="Times New Roman" w:hAnsiTheme="minorHAnsi" w:cstheme="minorHAnsi"/>
          <w:sz w:val="24"/>
          <w:szCs w:val="24"/>
        </w:rPr>
        <w:t>etc;</w:t>
      </w:r>
      <w:bookmarkStart w:id="5" w:name="_Hlk531869599"/>
      <w:proofErr w:type="gramEnd"/>
    </w:p>
    <w:p w14:paraId="4E89A0D9" w14:textId="77777777" w:rsidR="00961353" w:rsidRPr="00781608" w:rsidRDefault="00A56DF7" w:rsidP="00E85684">
      <w:pPr>
        <w:pStyle w:val="ydp360db5b4yiv6248630976msolistparagraph"/>
        <w:numPr>
          <w:ilvl w:val="1"/>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t xml:space="preserve">Proof of scheme-wise debt </w:t>
      </w:r>
      <w:proofErr w:type="gramStart"/>
      <w:r w:rsidRPr="00781608">
        <w:rPr>
          <w:rFonts w:asciiTheme="minorHAnsi" w:eastAsia="Times New Roman" w:hAnsiTheme="minorHAnsi" w:cstheme="minorHAnsi"/>
          <w:sz w:val="24"/>
          <w:szCs w:val="24"/>
        </w:rPr>
        <w:t>funding;</w:t>
      </w:r>
      <w:bookmarkEnd w:id="5"/>
      <w:proofErr w:type="gramEnd"/>
    </w:p>
    <w:p w14:paraId="10EC8EC9" w14:textId="77777777" w:rsidR="00961353" w:rsidRPr="00781608" w:rsidRDefault="00A56DF7" w:rsidP="00E85684">
      <w:pPr>
        <w:pStyle w:val="ydp360db5b4yiv6248630976msolistparagraph"/>
        <w:numPr>
          <w:ilvl w:val="1"/>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t xml:space="preserve">Proof of equity funding against </w:t>
      </w:r>
      <w:proofErr w:type="gramStart"/>
      <w:r w:rsidRPr="00781608">
        <w:rPr>
          <w:rFonts w:asciiTheme="minorHAnsi" w:eastAsia="Times New Roman" w:hAnsiTheme="minorHAnsi" w:cstheme="minorHAnsi"/>
          <w:sz w:val="24"/>
          <w:szCs w:val="24"/>
        </w:rPr>
        <w:t>Capitalisation;</w:t>
      </w:r>
      <w:proofErr w:type="gramEnd"/>
    </w:p>
    <w:p w14:paraId="5E2E625A" w14:textId="77777777" w:rsidR="00961353" w:rsidRPr="00781608" w:rsidRDefault="00A56DF7" w:rsidP="00E85684">
      <w:pPr>
        <w:pStyle w:val="ydp360db5b4yiv6248630976msolistparagraph"/>
        <w:numPr>
          <w:ilvl w:val="1"/>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t>Cost-benefit analysis for capitalised works, including details of improvement in reliability indices and loss reduction due to system improvement schemes, costing per agricultural connection, etc.</w:t>
      </w:r>
    </w:p>
    <w:p w14:paraId="062C6FAD" w14:textId="2C34262F" w:rsidR="006D78F8" w:rsidRPr="00781608" w:rsidRDefault="006D78F8" w:rsidP="006D78F8">
      <w:pPr>
        <w:pStyle w:val="ydp360db5b4yiv6248630976msolistparagraph"/>
        <w:spacing w:beforeAutospacing="0" w:after="200" w:afterAutospacing="0" w:line="312" w:lineRule="auto"/>
        <w:ind w:left="1080"/>
        <w:jc w:val="both"/>
        <w:rPr>
          <w:rFonts w:asciiTheme="minorHAnsi" w:hAnsiTheme="minorHAnsi" w:cstheme="minorHAnsi"/>
          <w:sz w:val="24"/>
          <w:szCs w:val="24"/>
        </w:rPr>
      </w:pPr>
      <w:r w:rsidRPr="00781608">
        <w:rPr>
          <w:rFonts w:asciiTheme="minorHAnsi" w:hAnsiTheme="minorHAnsi" w:cstheme="minorHAnsi"/>
          <w:b/>
          <w:bCs/>
          <w:sz w:val="24"/>
          <w:szCs w:val="24"/>
        </w:rPr>
        <w:t>Compliance:</w:t>
      </w:r>
      <w:r w:rsidR="00685816" w:rsidRPr="00781608">
        <w:rPr>
          <w:rFonts w:asciiTheme="minorHAnsi" w:hAnsiTheme="minorHAnsi" w:cstheme="minorHAnsi"/>
          <w:b/>
          <w:bCs/>
          <w:sz w:val="24"/>
          <w:szCs w:val="24"/>
        </w:rPr>
        <w:t xml:space="preserve"> </w:t>
      </w:r>
      <w:bookmarkStart w:id="6" w:name="_Hlk93154978"/>
      <w:r w:rsidRPr="00781608">
        <w:rPr>
          <w:rFonts w:asciiTheme="minorHAnsi" w:hAnsiTheme="minorHAnsi" w:cstheme="minorHAnsi"/>
          <w:sz w:val="24"/>
          <w:szCs w:val="24"/>
        </w:rPr>
        <w:t>Discom is raising fund in totality considering expected capital expenditure and similarly grant is released by respective agency based on availability of fund. It is possible that Discom has used grant for capital expenditure and asset is yet to get capitalised. It is possible that scheme capitalised in FY 2020-21 and its grant and consumer contribution is received in FY 2019-20 or before that. To make things simpler and considering the interest of the consumers, Discom is offering grant and consumer contribution received during the financial year for reduction of funding requirement irrespective of grant &amp; consumer contribution is used or capital expenditure carried out through grant &amp; consumer contribution is capitalized.</w:t>
      </w:r>
    </w:p>
    <w:p w14:paraId="71C4F0B3" w14:textId="75510C74" w:rsidR="006D78F8" w:rsidRPr="00781608" w:rsidRDefault="006D78F8" w:rsidP="006D78F8">
      <w:pPr>
        <w:pStyle w:val="ydp360db5b4yiv6248630976msolistparagraph"/>
        <w:spacing w:beforeAutospacing="0" w:after="200" w:afterAutospacing="0" w:line="312" w:lineRule="auto"/>
        <w:ind w:left="1080"/>
        <w:jc w:val="both"/>
        <w:rPr>
          <w:rFonts w:asciiTheme="minorHAnsi" w:hAnsiTheme="minorHAnsi" w:cstheme="minorHAnsi"/>
          <w:sz w:val="24"/>
          <w:szCs w:val="24"/>
        </w:rPr>
      </w:pPr>
      <w:r w:rsidRPr="00781608">
        <w:rPr>
          <w:rFonts w:asciiTheme="minorHAnsi" w:hAnsiTheme="minorHAnsi" w:cstheme="minorHAnsi"/>
          <w:sz w:val="24"/>
          <w:szCs w:val="24"/>
        </w:rPr>
        <w:t xml:space="preserve">Discom is meeting its funding requirement first from grant and consumer contribution and remaining is met through raising debt, retaining earnings, internal accruals etc. Discom has provided details of fund raised during the year and remaining is met through equity contribution. </w:t>
      </w:r>
      <w:proofErr w:type="gramStart"/>
      <w:r w:rsidRPr="00781608">
        <w:rPr>
          <w:rFonts w:asciiTheme="minorHAnsi" w:hAnsiTheme="minorHAnsi" w:cstheme="minorHAnsi"/>
          <w:sz w:val="24"/>
          <w:szCs w:val="24"/>
        </w:rPr>
        <w:t>For the purpose of</w:t>
      </w:r>
      <w:proofErr w:type="gramEnd"/>
      <w:r w:rsidRPr="00781608">
        <w:rPr>
          <w:rFonts w:asciiTheme="minorHAnsi" w:hAnsiTheme="minorHAnsi" w:cstheme="minorHAnsi"/>
          <w:sz w:val="24"/>
          <w:szCs w:val="24"/>
        </w:rPr>
        <w:t xml:space="preserve"> calculation of ARR, Discom has restricted equity contribution to </w:t>
      </w:r>
      <w:r w:rsidR="00685816" w:rsidRPr="00781608">
        <w:rPr>
          <w:rFonts w:asciiTheme="minorHAnsi" w:hAnsiTheme="minorHAnsi" w:cstheme="minorHAnsi"/>
          <w:sz w:val="24"/>
          <w:szCs w:val="24"/>
        </w:rPr>
        <w:t xml:space="preserve">normative level </w:t>
      </w:r>
      <w:r w:rsidRPr="00781608">
        <w:rPr>
          <w:rFonts w:asciiTheme="minorHAnsi" w:hAnsiTheme="minorHAnsi" w:cstheme="minorHAnsi"/>
          <w:sz w:val="24"/>
          <w:szCs w:val="24"/>
        </w:rPr>
        <w:t>30% of funding as per MYT Regulations, 2016.</w:t>
      </w:r>
    </w:p>
    <w:p w14:paraId="2B52ED5A" w14:textId="77777777" w:rsidR="006D78F8" w:rsidRPr="00781608" w:rsidRDefault="006D78F8" w:rsidP="006D78F8">
      <w:pPr>
        <w:pStyle w:val="ydp360db5b4yiv6248630976msolistparagraph"/>
        <w:spacing w:beforeAutospacing="0" w:after="200" w:afterAutospacing="0" w:line="312" w:lineRule="auto"/>
        <w:ind w:left="1080"/>
        <w:jc w:val="both"/>
        <w:rPr>
          <w:rFonts w:asciiTheme="minorHAnsi" w:hAnsiTheme="minorHAnsi" w:cstheme="minorHAnsi"/>
          <w:sz w:val="24"/>
          <w:szCs w:val="24"/>
        </w:rPr>
      </w:pPr>
      <w:r w:rsidRPr="00781608">
        <w:rPr>
          <w:rFonts w:asciiTheme="minorHAnsi" w:hAnsiTheme="minorHAnsi" w:cstheme="minorHAnsi"/>
          <w:sz w:val="24"/>
          <w:szCs w:val="24"/>
        </w:rPr>
        <w:t>It is to submit that most of the capital expenditure schemes are driven by either government schemes/ targets or meeting supply obligations. In both the scenario, Discom does not have option to decide whether to invest in capital expenditure scheme or not. Hence, working out cost benefit analysis for the scheme may not be use as Discom has to carried out the scheme.</w:t>
      </w:r>
    </w:p>
    <w:bookmarkEnd w:id="6"/>
    <w:p w14:paraId="5E8BBE84" w14:textId="77777777" w:rsidR="00961353" w:rsidRPr="00781608" w:rsidRDefault="00A56DF7" w:rsidP="00E85684">
      <w:pPr>
        <w:pStyle w:val="ydp360db5b4yiv6248630976msolistparagraph"/>
        <w:numPr>
          <w:ilvl w:val="0"/>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hAnsiTheme="minorHAnsi" w:cstheme="minorHAnsi"/>
          <w:sz w:val="24"/>
          <w:szCs w:val="24"/>
        </w:rPr>
        <w:t>Please clarify whether any actual payment towards pay revision is made to employees during FY 2020-21?</w:t>
      </w:r>
    </w:p>
    <w:p w14:paraId="3218C025" w14:textId="77777777" w:rsidR="00A734A3" w:rsidRPr="00781608" w:rsidRDefault="00836677" w:rsidP="00E85684">
      <w:pPr>
        <w:pStyle w:val="ydp360db5b4yiv6248630976msolistparagraph"/>
        <w:spacing w:beforeAutospacing="0" w:after="200" w:afterAutospacing="0" w:line="276" w:lineRule="auto"/>
        <w:ind w:left="720"/>
        <w:jc w:val="both"/>
        <w:rPr>
          <w:rFonts w:asciiTheme="minorHAnsi" w:hAnsiTheme="minorHAnsi" w:cstheme="minorHAnsi"/>
          <w:sz w:val="24"/>
          <w:szCs w:val="24"/>
        </w:rPr>
      </w:pPr>
      <w:r w:rsidRPr="00781608">
        <w:rPr>
          <w:rFonts w:asciiTheme="minorHAnsi" w:hAnsiTheme="minorHAnsi" w:cstheme="minorHAnsi"/>
          <w:b/>
          <w:bCs/>
          <w:sz w:val="24"/>
          <w:szCs w:val="24"/>
        </w:rPr>
        <w:lastRenderedPageBreak/>
        <w:t>Compliance</w:t>
      </w:r>
      <w:r w:rsidR="00A734A3" w:rsidRPr="00781608">
        <w:rPr>
          <w:rFonts w:asciiTheme="minorHAnsi" w:hAnsiTheme="minorHAnsi" w:cstheme="minorHAnsi"/>
          <w:b/>
          <w:bCs/>
          <w:sz w:val="24"/>
          <w:szCs w:val="24"/>
        </w:rPr>
        <w:t>:</w:t>
      </w:r>
      <w:r w:rsidR="00A734A3" w:rsidRPr="00781608">
        <w:rPr>
          <w:rFonts w:asciiTheme="minorHAnsi" w:hAnsiTheme="minorHAnsi" w:cstheme="minorHAnsi"/>
          <w:sz w:val="24"/>
          <w:szCs w:val="24"/>
        </w:rPr>
        <w:t xml:space="preserve"> Discom has not made any arrear payment towards pay revision to employees during FY 2020-21.</w:t>
      </w:r>
    </w:p>
    <w:p w14:paraId="7A901E62" w14:textId="77777777" w:rsidR="00961353" w:rsidRPr="00781608" w:rsidRDefault="00A56DF7" w:rsidP="00E85684">
      <w:pPr>
        <w:pStyle w:val="ydp360db5b4yiv6248630976msolistparagraph"/>
        <w:numPr>
          <w:ilvl w:val="0"/>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hAnsiTheme="minorHAnsi" w:cstheme="minorHAnsi"/>
          <w:sz w:val="24"/>
          <w:szCs w:val="24"/>
        </w:rPr>
        <w:t xml:space="preserve">As per Ministry of Finance, Government of India Notifications, Dearness Allowance to the employees for period 01.01.2020 to 01.07.2021 was not paid. It is requested to give the exact amount in Rs. Crore for such non-payment of Dearness Allowance. </w:t>
      </w:r>
      <w:proofErr w:type="gramStart"/>
      <w:r w:rsidRPr="00781608">
        <w:rPr>
          <w:rFonts w:asciiTheme="minorHAnsi" w:hAnsiTheme="minorHAnsi" w:cstheme="minorHAnsi"/>
          <w:sz w:val="24"/>
          <w:szCs w:val="24"/>
        </w:rPr>
        <w:t>And also</w:t>
      </w:r>
      <w:proofErr w:type="gramEnd"/>
      <w:r w:rsidRPr="00781608">
        <w:rPr>
          <w:rFonts w:asciiTheme="minorHAnsi" w:hAnsiTheme="minorHAnsi" w:cstheme="minorHAnsi"/>
          <w:sz w:val="24"/>
          <w:szCs w:val="24"/>
        </w:rPr>
        <w:t xml:space="preserve"> explain why the reduction in employee cost on the account of non-payment of such DA should not be considered as uncontrollable deviation. </w:t>
      </w:r>
    </w:p>
    <w:p w14:paraId="05EA98BB" w14:textId="77777777" w:rsidR="00732FE1" w:rsidRPr="00781608" w:rsidRDefault="00836677" w:rsidP="00E85684">
      <w:pPr>
        <w:pStyle w:val="ydp360db5b4yiv6248630976msolistparagraph"/>
        <w:spacing w:beforeAutospacing="0" w:after="200" w:afterAutospacing="0" w:line="276" w:lineRule="auto"/>
        <w:ind w:left="720"/>
        <w:jc w:val="both"/>
        <w:rPr>
          <w:rFonts w:asciiTheme="minorHAnsi" w:hAnsiTheme="minorHAnsi" w:cstheme="minorHAnsi"/>
          <w:sz w:val="24"/>
          <w:szCs w:val="24"/>
        </w:rPr>
      </w:pPr>
      <w:r w:rsidRPr="00781608">
        <w:rPr>
          <w:rFonts w:asciiTheme="minorHAnsi" w:hAnsiTheme="minorHAnsi" w:cstheme="minorHAnsi"/>
          <w:b/>
          <w:bCs/>
          <w:sz w:val="24"/>
          <w:szCs w:val="24"/>
        </w:rPr>
        <w:t>Compliance</w:t>
      </w:r>
      <w:r w:rsidR="00104452" w:rsidRPr="00781608">
        <w:rPr>
          <w:rFonts w:asciiTheme="minorHAnsi" w:hAnsiTheme="minorHAnsi" w:cstheme="minorHAnsi"/>
          <w:b/>
          <w:bCs/>
          <w:sz w:val="24"/>
          <w:szCs w:val="24"/>
        </w:rPr>
        <w:t>:</w:t>
      </w:r>
      <w:r w:rsidR="00104452" w:rsidRPr="00781608">
        <w:rPr>
          <w:rFonts w:asciiTheme="minorHAnsi" w:hAnsiTheme="minorHAnsi" w:cstheme="minorHAnsi"/>
          <w:sz w:val="24"/>
          <w:szCs w:val="24"/>
        </w:rPr>
        <w:t xml:space="preserve"> it</w:t>
      </w:r>
      <w:r w:rsidR="00732FE1" w:rsidRPr="00781608">
        <w:rPr>
          <w:rFonts w:asciiTheme="minorHAnsi" w:hAnsiTheme="minorHAnsi" w:cstheme="minorHAnsi"/>
          <w:sz w:val="24"/>
          <w:szCs w:val="24"/>
        </w:rPr>
        <w:t xml:space="preserve"> is to submit that as Dearness Allowance to the employees for period 01.01.2020 to 01.07.2021 was not paid</w:t>
      </w:r>
      <w:r w:rsidR="008857CE" w:rsidRPr="00781608">
        <w:rPr>
          <w:rFonts w:asciiTheme="minorHAnsi" w:hAnsiTheme="minorHAnsi" w:cstheme="minorHAnsi"/>
          <w:sz w:val="24"/>
          <w:szCs w:val="24"/>
        </w:rPr>
        <w:t xml:space="preserve"> and hence</w:t>
      </w:r>
      <w:r w:rsidR="00732FE1" w:rsidRPr="00781608">
        <w:rPr>
          <w:rFonts w:asciiTheme="minorHAnsi" w:hAnsiTheme="minorHAnsi" w:cstheme="minorHAnsi"/>
          <w:sz w:val="24"/>
          <w:szCs w:val="24"/>
        </w:rPr>
        <w:t xml:space="preserve"> it is not possible to workout amount of such non-payment of Dearness Allowance. </w:t>
      </w:r>
    </w:p>
    <w:p w14:paraId="13F1EC9E" w14:textId="098CA321" w:rsidR="006C5F71" w:rsidRPr="00781608" w:rsidRDefault="00F02491" w:rsidP="00E85684">
      <w:pPr>
        <w:pStyle w:val="ydp360db5b4yiv6248630976msolistparagraph"/>
        <w:spacing w:beforeAutospacing="0" w:after="200" w:afterAutospacing="0" w:line="276" w:lineRule="auto"/>
        <w:ind w:left="720"/>
        <w:jc w:val="both"/>
        <w:rPr>
          <w:rFonts w:asciiTheme="minorHAnsi" w:hAnsiTheme="minorHAnsi" w:cstheme="minorHAnsi"/>
          <w:sz w:val="24"/>
          <w:szCs w:val="24"/>
        </w:rPr>
      </w:pPr>
      <w:r w:rsidRPr="00781608">
        <w:rPr>
          <w:rFonts w:asciiTheme="minorHAnsi" w:hAnsiTheme="minorHAnsi" w:cstheme="minorHAnsi"/>
          <w:sz w:val="24"/>
          <w:szCs w:val="24"/>
        </w:rPr>
        <w:t>UGVCL</w:t>
      </w:r>
      <w:r w:rsidR="006C5F71" w:rsidRPr="00781608">
        <w:rPr>
          <w:rFonts w:asciiTheme="minorHAnsi" w:hAnsiTheme="minorHAnsi" w:cstheme="minorHAnsi"/>
          <w:sz w:val="24"/>
          <w:szCs w:val="24"/>
        </w:rPr>
        <w:t xml:space="preserve"> submits that the Hon’ble Commission approves employee cost on overall basis and does not approve component wise. The Hon’ble Commission has </w:t>
      </w:r>
      <w:r w:rsidR="004555ED" w:rsidRPr="00781608">
        <w:rPr>
          <w:rFonts w:asciiTheme="minorHAnsi" w:hAnsiTheme="minorHAnsi" w:cstheme="minorHAnsi"/>
          <w:sz w:val="24"/>
          <w:szCs w:val="24"/>
        </w:rPr>
        <w:t xml:space="preserve">considered </w:t>
      </w:r>
      <w:r w:rsidR="006C5F71" w:rsidRPr="00781608">
        <w:rPr>
          <w:rFonts w:asciiTheme="minorHAnsi" w:hAnsiTheme="minorHAnsi" w:cstheme="minorHAnsi"/>
          <w:sz w:val="24"/>
          <w:szCs w:val="24"/>
        </w:rPr>
        <w:t xml:space="preserve">escalation rate of 5.72% over approved employee cost for FY 2019-20 to arrive at employee cost for FY 2020-21. Even if actual increase in employee cost is higher than 5.72% due to various factors </w:t>
      </w:r>
      <w:r w:rsidR="008857CE" w:rsidRPr="00781608">
        <w:rPr>
          <w:rFonts w:asciiTheme="minorHAnsi" w:hAnsiTheme="minorHAnsi" w:cstheme="minorHAnsi"/>
          <w:sz w:val="24"/>
          <w:szCs w:val="24"/>
        </w:rPr>
        <w:t xml:space="preserve">like </w:t>
      </w:r>
      <w:r w:rsidR="004555ED" w:rsidRPr="00781608">
        <w:rPr>
          <w:rFonts w:asciiTheme="minorHAnsi" w:hAnsiTheme="minorHAnsi" w:cstheme="minorHAnsi"/>
          <w:sz w:val="24"/>
          <w:szCs w:val="24"/>
        </w:rPr>
        <w:t xml:space="preserve">regular increment of </w:t>
      </w:r>
      <w:r w:rsidR="009161E3" w:rsidRPr="00781608">
        <w:rPr>
          <w:rFonts w:asciiTheme="minorHAnsi" w:hAnsiTheme="minorHAnsi" w:cstheme="minorHAnsi"/>
          <w:sz w:val="24"/>
          <w:szCs w:val="24"/>
        </w:rPr>
        <w:t>employee’s salary</w:t>
      </w:r>
      <w:r w:rsidR="004555ED" w:rsidRPr="00781608">
        <w:rPr>
          <w:rFonts w:asciiTheme="minorHAnsi" w:hAnsiTheme="minorHAnsi" w:cstheme="minorHAnsi"/>
          <w:sz w:val="24"/>
          <w:szCs w:val="24"/>
        </w:rPr>
        <w:t xml:space="preserve">, increment in </w:t>
      </w:r>
      <w:r w:rsidR="006C5F71" w:rsidRPr="00781608">
        <w:rPr>
          <w:rFonts w:asciiTheme="minorHAnsi" w:hAnsiTheme="minorHAnsi" w:cstheme="minorHAnsi"/>
          <w:sz w:val="24"/>
          <w:szCs w:val="24"/>
        </w:rPr>
        <w:t>DA</w:t>
      </w:r>
      <w:r w:rsidR="004555ED" w:rsidRPr="00781608">
        <w:rPr>
          <w:rFonts w:asciiTheme="minorHAnsi" w:hAnsiTheme="minorHAnsi" w:cstheme="minorHAnsi"/>
          <w:sz w:val="24"/>
          <w:szCs w:val="24"/>
        </w:rPr>
        <w:t xml:space="preserve"> by competent authority etc. which are beyond control of Discom</w:t>
      </w:r>
      <w:r w:rsidR="008857CE" w:rsidRPr="00781608">
        <w:rPr>
          <w:rFonts w:asciiTheme="minorHAnsi" w:hAnsiTheme="minorHAnsi" w:cstheme="minorHAnsi"/>
          <w:sz w:val="24"/>
          <w:szCs w:val="24"/>
        </w:rPr>
        <w:t>, the Hon’ble Commission has always considered such increase as controllable only</w:t>
      </w:r>
      <w:r w:rsidR="00732FE1" w:rsidRPr="00781608">
        <w:rPr>
          <w:rFonts w:asciiTheme="minorHAnsi" w:hAnsiTheme="minorHAnsi" w:cstheme="minorHAnsi"/>
          <w:sz w:val="24"/>
          <w:szCs w:val="24"/>
        </w:rPr>
        <w:t xml:space="preserve">. The Hon’ble Commission has not carried out exercise with reference to increment in DA and allowed addition employee cost incurred by </w:t>
      </w:r>
      <w:r w:rsidR="008857CE" w:rsidRPr="00781608">
        <w:rPr>
          <w:rFonts w:asciiTheme="minorHAnsi" w:hAnsiTheme="minorHAnsi" w:cstheme="minorHAnsi"/>
          <w:sz w:val="24"/>
          <w:szCs w:val="24"/>
        </w:rPr>
        <w:t xml:space="preserve">the </w:t>
      </w:r>
      <w:r w:rsidR="00732FE1" w:rsidRPr="00781608">
        <w:rPr>
          <w:rFonts w:asciiTheme="minorHAnsi" w:hAnsiTheme="minorHAnsi" w:cstheme="minorHAnsi"/>
          <w:sz w:val="24"/>
          <w:szCs w:val="24"/>
        </w:rPr>
        <w:t xml:space="preserve">Discom </w:t>
      </w:r>
      <w:r w:rsidR="008857CE" w:rsidRPr="00781608">
        <w:rPr>
          <w:rFonts w:asciiTheme="minorHAnsi" w:hAnsiTheme="minorHAnsi" w:cstheme="minorHAnsi"/>
          <w:sz w:val="24"/>
          <w:szCs w:val="24"/>
        </w:rPr>
        <w:t xml:space="preserve">as </w:t>
      </w:r>
      <w:r w:rsidR="00732FE1" w:rsidRPr="00781608">
        <w:rPr>
          <w:rFonts w:asciiTheme="minorHAnsi" w:hAnsiTheme="minorHAnsi" w:cstheme="minorHAnsi"/>
          <w:sz w:val="24"/>
          <w:szCs w:val="24"/>
        </w:rPr>
        <w:t xml:space="preserve">uncontrollable. In view of the same, </w:t>
      </w:r>
      <w:r w:rsidR="006C5F71" w:rsidRPr="00781608">
        <w:rPr>
          <w:rFonts w:asciiTheme="minorHAnsi" w:hAnsiTheme="minorHAnsi" w:cstheme="minorHAnsi"/>
          <w:sz w:val="24"/>
          <w:szCs w:val="24"/>
        </w:rPr>
        <w:t>variation in employee cost should be treat</w:t>
      </w:r>
      <w:r w:rsidR="004555ED" w:rsidRPr="00781608">
        <w:rPr>
          <w:rFonts w:asciiTheme="minorHAnsi" w:hAnsiTheme="minorHAnsi" w:cstheme="minorHAnsi"/>
          <w:sz w:val="24"/>
          <w:szCs w:val="24"/>
        </w:rPr>
        <w:t>ed</w:t>
      </w:r>
      <w:r w:rsidR="006B5C26" w:rsidRPr="00781608">
        <w:rPr>
          <w:rFonts w:asciiTheme="minorHAnsi" w:hAnsiTheme="minorHAnsi" w:cstheme="minorHAnsi"/>
          <w:sz w:val="24"/>
          <w:szCs w:val="24"/>
        </w:rPr>
        <w:t xml:space="preserve"> </w:t>
      </w:r>
      <w:r w:rsidR="008857CE" w:rsidRPr="00781608">
        <w:rPr>
          <w:rFonts w:asciiTheme="minorHAnsi" w:hAnsiTheme="minorHAnsi" w:cstheme="minorHAnsi"/>
          <w:sz w:val="24"/>
          <w:szCs w:val="24"/>
        </w:rPr>
        <w:t xml:space="preserve">as controllable </w:t>
      </w:r>
      <w:r w:rsidR="006C5F71" w:rsidRPr="00781608">
        <w:rPr>
          <w:rFonts w:asciiTheme="minorHAnsi" w:hAnsiTheme="minorHAnsi" w:cstheme="minorHAnsi"/>
          <w:sz w:val="24"/>
          <w:szCs w:val="24"/>
        </w:rPr>
        <w:t>on overall basis</w:t>
      </w:r>
      <w:r w:rsidR="00C56BE0" w:rsidRPr="00781608">
        <w:rPr>
          <w:rFonts w:asciiTheme="minorHAnsi" w:hAnsiTheme="minorHAnsi" w:cstheme="minorHAnsi"/>
          <w:sz w:val="24"/>
          <w:szCs w:val="24"/>
        </w:rPr>
        <w:t xml:space="preserve"> and not to analyse component to component wise</w:t>
      </w:r>
      <w:r w:rsidR="009161E3" w:rsidRPr="00781608">
        <w:rPr>
          <w:rFonts w:asciiTheme="minorHAnsi" w:hAnsiTheme="minorHAnsi" w:cstheme="minorHAnsi"/>
          <w:sz w:val="24"/>
          <w:szCs w:val="24"/>
        </w:rPr>
        <w:t xml:space="preserve"> and determine whether it is controllable or uncontrollable</w:t>
      </w:r>
      <w:r w:rsidR="00C56BE0" w:rsidRPr="00781608">
        <w:rPr>
          <w:rFonts w:asciiTheme="minorHAnsi" w:hAnsiTheme="minorHAnsi" w:cstheme="minorHAnsi"/>
          <w:sz w:val="24"/>
          <w:szCs w:val="24"/>
        </w:rPr>
        <w:t>.</w:t>
      </w:r>
    </w:p>
    <w:p w14:paraId="36C22450" w14:textId="77777777" w:rsidR="00961353" w:rsidRPr="00781608" w:rsidRDefault="00A56DF7" w:rsidP="00E85684">
      <w:pPr>
        <w:pStyle w:val="ydp360db5b4yiv6248630976msolistparagraph"/>
        <w:numPr>
          <w:ilvl w:val="0"/>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t>As regards A&amp;G Expenses, UGVCL should submit the details and justification for expenses booked under ‘Miscellaneous Losses and Write-off and ‘Other Administration &amp; General Expenses’.</w:t>
      </w:r>
    </w:p>
    <w:p w14:paraId="50F7EDAC" w14:textId="77777777" w:rsidR="00E0692B" w:rsidRPr="00781608" w:rsidRDefault="00E0692B" w:rsidP="00E0692B">
      <w:pPr>
        <w:pStyle w:val="ydp360db5b4yiv6248630976msolistparagraph"/>
        <w:spacing w:beforeAutospacing="0" w:after="200" w:afterAutospacing="0" w:line="276" w:lineRule="auto"/>
        <w:ind w:left="720"/>
        <w:jc w:val="both"/>
        <w:rPr>
          <w:rFonts w:asciiTheme="minorHAnsi" w:eastAsia="Times New Roman" w:hAnsiTheme="minorHAnsi" w:cstheme="minorHAnsi"/>
          <w:b/>
          <w:bCs/>
          <w:sz w:val="24"/>
          <w:szCs w:val="24"/>
        </w:rPr>
      </w:pPr>
      <w:r w:rsidRPr="00781608">
        <w:rPr>
          <w:rFonts w:asciiTheme="minorHAnsi" w:eastAsia="Times New Roman" w:hAnsiTheme="minorHAnsi" w:cstheme="minorHAnsi"/>
          <w:b/>
          <w:bCs/>
          <w:sz w:val="24"/>
          <w:szCs w:val="24"/>
        </w:rPr>
        <w:t xml:space="preserve">Compliance: </w:t>
      </w:r>
    </w:p>
    <w:p w14:paraId="021BE458" w14:textId="77777777" w:rsidR="005B0885" w:rsidRPr="00781608" w:rsidRDefault="005B0885" w:rsidP="00E94A46">
      <w:pPr>
        <w:pStyle w:val="ydp360db5b4yiv6248630976msolistparagraph"/>
        <w:spacing w:beforeAutospacing="0" w:after="200" w:afterAutospacing="0" w:line="276" w:lineRule="auto"/>
        <w:ind w:left="720" w:firstLine="720"/>
        <w:jc w:val="both"/>
        <w:rPr>
          <w:rFonts w:asciiTheme="minorHAnsi" w:eastAsia="Times New Roman" w:hAnsiTheme="minorHAnsi" w:cstheme="minorHAnsi"/>
          <w:b/>
          <w:bCs/>
          <w:sz w:val="24"/>
          <w:szCs w:val="24"/>
        </w:rPr>
      </w:pPr>
      <w:bookmarkStart w:id="7" w:name="_Hlk93155247"/>
      <w:bookmarkStart w:id="8" w:name="_Hlk93155695"/>
      <w:r w:rsidRPr="00781608">
        <w:rPr>
          <w:rFonts w:asciiTheme="minorHAnsi" w:eastAsia="Times New Roman" w:hAnsiTheme="minorHAnsi" w:cstheme="minorHAnsi"/>
          <w:b/>
          <w:bCs/>
          <w:sz w:val="24"/>
          <w:szCs w:val="24"/>
        </w:rPr>
        <w:t>Miscellaneous Losses &amp; Write off</w:t>
      </w: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453"/>
        <w:gridCol w:w="1926"/>
      </w:tblGrid>
      <w:tr w:rsidR="005B0885" w:rsidRPr="00781608" w14:paraId="3069187C" w14:textId="77777777" w:rsidTr="008D73C9">
        <w:trPr>
          <w:trHeight w:val="315"/>
        </w:trPr>
        <w:tc>
          <w:tcPr>
            <w:tcW w:w="1276" w:type="dxa"/>
            <w:shd w:val="clear" w:color="auto" w:fill="DEEAF6" w:themeFill="accent5" w:themeFillTint="33"/>
            <w:noWrap/>
            <w:hideMark/>
          </w:tcPr>
          <w:p w14:paraId="0313B679" w14:textId="77777777" w:rsidR="005B0885" w:rsidRPr="00781608" w:rsidRDefault="005B0885" w:rsidP="008D73C9">
            <w:pPr>
              <w:jc w:val="cente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b/>
                <w:bCs/>
                <w:color w:val="000000"/>
                <w:lang w:val="en-US" w:eastAsia="en-US" w:bidi="gu-IN"/>
              </w:rPr>
              <w:t>A/c Head</w:t>
            </w:r>
          </w:p>
        </w:tc>
        <w:tc>
          <w:tcPr>
            <w:tcW w:w="4453" w:type="dxa"/>
            <w:shd w:val="clear" w:color="auto" w:fill="DEEAF6" w:themeFill="accent5" w:themeFillTint="33"/>
            <w:noWrap/>
            <w:hideMark/>
          </w:tcPr>
          <w:p w14:paraId="264C03C5" w14:textId="77777777" w:rsidR="005B0885" w:rsidRPr="00781608" w:rsidRDefault="005B0885" w:rsidP="008D73C9">
            <w:pPr>
              <w:jc w:val="cente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b/>
                <w:bCs/>
                <w:color w:val="000000"/>
                <w:lang w:val="en-US" w:eastAsia="en-US" w:bidi="gu-IN"/>
              </w:rPr>
              <w:t>Description</w:t>
            </w:r>
          </w:p>
        </w:tc>
        <w:tc>
          <w:tcPr>
            <w:tcW w:w="1926" w:type="dxa"/>
            <w:shd w:val="clear" w:color="auto" w:fill="DEEAF6" w:themeFill="accent5" w:themeFillTint="33"/>
            <w:noWrap/>
            <w:hideMark/>
          </w:tcPr>
          <w:p w14:paraId="4D3975CD" w14:textId="77777777" w:rsidR="005B0885" w:rsidRPr="00781608" w:rsidRDefault="005B0885" w:rsidP="008D73C9">
            <w:pPr>
              <w:jc w:val="cente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b/>
                <w:bCs/>
                <w:color w:val="000000"/>
                <w:lang w:val="en-US" w:eastAsia="en-US" w:bidi="gu-IN"/>
              </w:rPr>
              <w:t>CB 31-03-21</w:t>
            </w:r>
          </w:p>
        </w:tc>
      </w:tr>
      <w:tr w:rsidR="005B0885" w:rsidRPr="00781608" w14:paraId="483C4F79" w14:textId="77777777" w:rsidTr="008D73C9">
        <w:trPr>
          <w:trHeight w:val="99"/>
        </w:trPr>
        <w:tc>
          <w:tcPr>
            <w:tcW w:w="1276" w:type="dxa"/>
            <w:shd w:val="clear" w:color="auto" w:fill="auto"/>
            <w:noWrap/>
            <w:hideMark/>
          </w:tcPr>
          <w:p w14:paraId="4ADD0CCF" w14:textId="77777777" w:rsidR="005B0885" w:rsidRPr="00781608" w:rsidRDefault="005B0885" w:rsidP="008D73C9">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79530</w:t>
            </w:r>
          </w:p>
        </w:tc>
        <w:tc>
          <w:tcPr>
            <w:tcW w:w="4453" w:type="dxa"/>
            <w:shd w:val="clear" w:color="auto" w:fill="auto"/>
            <w:noWrap/>
            <w:hideMark/>
          </w:tcPr>
          <w:p w14:paraId="1D415125" w14:textId="77777777" w:rsidR="005B0885" w:rsidRPr="00781608" w:rsidRDefault="005B0885" w:rsidP="008D73C9">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Compensation Fr Injuries Deaths-Staff</w:t>
            </w:r>
          </w:p>
        </w:tc>
        <w:tc>
          <w:tcPr>
            <w:tcW w:w="1926" w:type="dxa"/>
            <w:shd w:val="clear" w:color="auto" w:fill="auto"/>
            <w:noWrap/>
            <w:hideMark/>
          </w:tcPr>
          <w:p w14:paraId="6DD2BA27" w14:textId="77777777" w:rsidR="005B0885" w:rsidRPr="00781608" w:rsidRDefault="005B0885" w:rsidP="008D73C9">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8,133</w:t>
            </w:r>
          </w:p>
        </w:tc>
      </w:tr>
      <w:tr w:rsidR="005B0885" w:rsidRPr="00781608" w14:paraId="004559CB" w14:textId="77777777" w:rsidTr="008D73C9">
        <w:trPr>
          <w:trHeight w:val="300"/>
        </w:trPr>
        <w:tc>
          <w:tcPr>
            <w:tcW w:w="1276" w:type="dxa"/>
            <w:shd w:val="clear" w:color="auto" w:fill="auto"/>
            <w:noWrap/>
            <w:hideMark/>
          </w:tcPr>
          <w:p w14:paraId="4CC19E9C" w14:textId="77777777" w:rsidR="005B0885" w:rsidRPr="00781608" w:rsidRDefault="005B0885" w:rsidP="008D73C9">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79531</w:t>
            </w:r>
          </w:p>
        </w:tc>
        <w:tc>
          <w:tcPr>
            <w:tcW w:w="4453" w:type="dxa"/>
            <w:shd w:val="clear" w:color="auto" w:fill="auto"/>
            <w:noWrap/>
            <w:hideMark/>
          </w:tcPr>
          <w:p w14:paraId="3AEEB5B7" w14:textId="77777777" w:rsidR="005B0885" w:rsidRPr="00781608" w:rsidRDefault="005B0885" w:rsidP="008D73C9">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 xml:space="preserve">Comp Fr </w:t>
            </w:r>
            <w:proofErr w:type="spellStart"/>
            <w:r w:rsidRPr="00781608">
              <w:rPr>
                <w:rFonts w:asciiTheme="minorHAnsi" w:eastAsia="Times New Roman" w:hAnsiTheme="minorHAnsi" w:cstheme="minorHAnsi"/>
                <w:color w:val="000000"/>
                <w:lang w:val="en-US" w:eastAsia="en-US" w:bidi="gu-IN"/>
              </w:rPr>
              <w:t>Inj</w:t>
            </w:r>
            <w:proofErr w:type="spellEnd"/>
            <w:r w:rsidRPr="00781608">
              <w:rPr>
                <w:rFonts w:asciiTheme="minorHAnsi" w:eastAsia="Times New Roman" w:hAnsiTheme="minorHAnsi" w:cstheme="minorHAnsi"/>
                <w:color w:val="000000"/>
                <w:lang w:val="en-US" w:eastAsia="en-US" w:bidi="gu-IN"/>
              </w:rPr>
              <w:t xml:space="preserve"> Death Damage-Outsiders</w:t>
            </w:r>
          </w:p>
        </w:tc>
        <w:tc>
          <w:tcPr>
            <w:tcW w:w="1926" w:type="dxa"/>
            <w:shd w:val="clear" w:color="auto" w:fill="auto"/>
            <w:noWrap/>
            <w:hideMark/>
          </w:tcPr>
          <w:p w14:paraId="72BE0EA9" w14:textId="77777777" w:rsidR="005B0885" w:rsidRPr="00781608" w:rsidRDefault="005B0885" w:rsidP="008D73C9">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1,87,25,628</w:t>
            </w:r>
          </w:p>
        </w:tc>
      </w:tr>
      <w:tr w:rsidR="005B0885" w:rsidRPr="00781608" w14:paraId="29B277EC" w14:textId="77777777" w:rsidTr="008D73C9">
        <w:trPr>
          <w:trHeight w:val="300"/>
        </w:trPr>
        <w:tc>
          <w:tcPr>
            <w:tcW w:w="1276" w:type="dxa"/>
            <w:shd w:val="clear" w:color="auto" w:fill="auto"/>
            <w:noWrap/>
            <w:hideMark/>
          </w:tcPr>
          <w:p w14:paraId="7F925F8A" w14:textId="77777777" w:rsidR="005B0885" w:rsidRPr="00781608" w:rsidRDefault="005B0885" w:rsidP="008D73C9">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79561</w:t>
            </w:r>
          </w:p>
        </w:tc>
        <w:tc>
          <w:tcPr>
            <w:tcW w:w="4453" w:type="dxa"/>
            <w:shd w:val="clear" w:color="auto" w:fill="auto"/>
            <w:noWrap/>
            <w:hideMark/>
          </w:tcPr>
          <w:p w14:paraId="2D682413" w14:textId="77777777" w:rsidR="005B0885" w:rsidRPr="00781608" w:rsidRDefault="005B0885" w:rsidP="008D73C9">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 xml:space="preserve">Loss On Obsolescence </w:t>
            </w:r>
            <w:proofErr w:type="gramStart"/>
            <w:r w:rsidRPr="00781608">
              <w:rPr>
                <w:rFonts w:asciiTheme="minorHAnsi" w:eastAsia="Times New Roman" w:hAnsiTheme="minorHAnsi" w:cstheme="minorHAnsi"/>
                <w:color w:val="000000"/>
                <w:lang w:val="en-US" w:eastAsia="en-US" w:bidi="gu-IN"/>
              </w:rPr>
              <w:t>Of</w:t>
            </w:r>
            <w:proofErr w:type="gramEnd"/>
            <w:r w:rsidRPr="00781608">
              <w:rPr>
                <w:rFonts w:asciiTheme="minorHAnsi" w:eastAsia="Times New Roman" w:hAnsiTheme="minorHAnsi" w:cstheme="minorHAnsi"/>
                <w:color w:val="000000"/>
                <w:lang w:val="en-US" w:eastAsia="en-US" w:bidi="gu-IN"/>
              </w:rPr>
              <w:t xml:space="preserve"> Stores</w:t>
            </w:r>
          </w:p>
        </w:tc>
        <w:tc>
          <w:tcPr>
            <w:tcW w:w="1926" w:type="dxa"/>
            <w:shd w:val="clear" w:color="auto" w:fill="auto"/>
            <w:noWrap/>
            <w:hideMark/>
          </w:tcPr>
          <w:p w14:paraId="0F3CC732" w14:textId="77777777" w:rsidR="005B0885" w:rsidRPr="00781608" w:rsidRDefault="005B0885" w:rsidP="008D73C9">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53,86,146</w:t>
            </w:r>
          </w:p>
        </w:tc>
      </w:tr>
      <w:tr w:rsidR="005B0885" w:rsidRPr="00781608" w14:paraId="201D0C58" w14:textId="77777777" w:rsidTr="008D73C9">
        <w:trPr>
          <w:trHeight w:val="300"/>
        </w:trPr>
        <w:tc>
          <w:tcPr>
            <w:tcW w:w="1276" w:type="dxa"/>
            <w:shd w:val="clear" w:color="auto" w:fill="auto"/>
            <w:noWrap/>
            <w:hideMark/>
          </w:tcPr>
          <w:p w14:paraId="3EAF5966" w14:textId="77777777" w:rsidR="005B0885" w:rsidRPr="00781608" w:rsidRDefault="005B0885" w:rsidP="008D73C9">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79572</w:t>
            </w:r>
          </w:p>
        </w:tc>
        <w:tc>
          <w:tcPr>
            <w:tcW w:w="4453" w:type="dxa"/>
            <w:shd w:val="clear" w:color="auto" w:fill="auto"/>
            <w:noWrap/>
            <w:hideMark/>
          </w:tcPr>
          <w:p w14:paraId="68056E87" w14:textId="77777777" w:rsidR="005B0885" w:rsidRPr="00781608" w:rsidRDefault="005B0885" w:rsidP="008D73C9">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 xml:space="preserve">Loss On Sale </w:t>
            </w:r>
            <w:proofErr w:type="gramStart"/>
            <w:r w:rsidRPr="00781608">
              <w:rPr>
                <w:rFonts w:asciiTheme="minorHAnsi" w:eastAsia="Times New Roman" w:hAnsiTheme="minorHAnsi" w:cstheme="minorHAnsi"/>
                <w:color w:val="000000"/>
                <w:lang w:val="en-US" w:eastAsia="en-US" w:bidi="gu-IN"/>
              </w:rPr>
              <w:t>Of</w:t>
            </w:r>
            <w:proofErr w:type="gramEnd"/>
            <w:r w:rsidRPr="00781608">
              <w:rPr>
                <w:rFonts w:asciiTheme="minorHAnsi" w:eastAsia="Times New Roman" w:hAnsiTheme="minorHAnsi" w:cstheme="minorHAnsi"/>
                <w:color w:val="000000"/>
                <w:lang w:val="en-US" w:eastAsia="en-US" w:bidi="gu-IN"/>
              </w:rPr>
              <w:t xml:space="preserve"> Scrap</w:t>
            </w:r>
          </w:p>
        </w:tc>
        <w:tc>
          <w:tcPr>
            <w:tcW w:w="1926" w:type="dxa"/>
            <w:shd w:val="clear" w:color="auto" w:fill="auto"/>
            <w:noWrap/>
            <w:hideMark/>
          </w:tcPr>
          <w:p w14:paraId="336E0E08" w14:textId="77777777" w:rsidR="005B0885" w:rsidRPr="00781608" w:rsidRDefault="005B0885" w:rsidP="008D73C9">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43,83,936</w:t>
            </w:r>
          </w:p>
        </w:tc>
      </w:tr>
      <w:tr w:rsidR="005B0885" w:rsidRPr="00781608" w14:paraId="729CFA4D" w14:textId="77777777" w:rsidTr="008D73C9">
        <w:trPr>
          <w:trHeight w:val="300"/>
        </w:trPr>
        <w:tc>
          <w:tcPr>
            <w:tcW w:w="1276" w:type="dxa"/>
            <w:shd w:val="clear" w:color="auto" w:fill="auto"/>
            <w:noWrap/>
            <w:hideMark/>
          </w:tcPr>
          <w:p w14:paraId="156F51BB" w14:textId="77777777" w:rsidR="005B0885" w:rsidRPr="00781608" w:rsidRDefault="005B0885" w:rsidP="008D73C9">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79599</w:t>
            </w:r>
          </w:p>
        </w:tc>
        <w:tc>
          <w:tcPr>
            <w:tcW w:w="4453" w:type="dxa"/>
            <w:shd w:val="clear" w:color="auto" w:fill="auto"/>
            <w:noWrap/>
            <w:hideMark/>
          </w:tcPr>
          <w:p w14:paraId="6A9F2A87" w14:textId="77777777" w:rsidR="005B0885" w:rsidRPr="00781608" w:rsidRDefault="005B0885" w:rsidP="008D73C9">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 xml:space="preserve">Other Losses </w:t>
            </w:r>
            <w:proofErr w:type="gramStart"/>
            <w:r w:rsidRPr="00781608">
              <w:rPr>
                <w:rFonts w:asciiTheme="minorHAnsi" w:eastAsia="Times New Roman" w:hAnsiTheme="minorHAnsi" w:cstheme="minorHAnsi"/>
                <w:color w:val="000000"/>
                <w:lang w:val="en-US" w:eastAsia="en-US" w:bidi="gu-IN"/>
              </w:rPr>
              <w:t>And</w:t>
            </w:r>
            <w:proofErr w:type="gramEnd"/>
            <w:r w:rsidRPr="00781608">
              <w:rPr>
                <w:rFonts w:asciiTheme="minorHAnsi" w:eastAsia="Times New Roman" w:hAnsiTheme="minorHAnsi" w:cstheme="minorHAnsi"/>
                <w:color w:val="000000"/>
                <w:lang w:val="en-US" w:eastAsia="en-US" w:bidi="gu-IN"/>
              </w:rPr>
              <w:t xml:space="preserve"> Write-Off</w:t>
            </w:r>
          </w:p>
        </w:tc>
        <w:tc>
          <w:tcPr>
            <w:tcW w:w="1926" w:type="dxa"/>
            <w:shd w:val="clear" w:color="auto" w:fill="auto"/>
            <w:noWrap/>
            <w:hideMark/>
          </w:tcPr>
          <w:p w14:paraId="772F74B3" w14:textId="77777777" w:rsidR="005B0885" w:rsidRPr="00781608" w:rsidRDefault="005B0885" w:rsidP="008D73C9">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9,58,130</w:t>
            </w:r>
          </w:p>
        </w:tc>
      </w:tr>
      <w:tr w:rsidR="005B0885" w:rsidRPr="00781608" w14:paraId="64DBCB09" w14:textId="77777777" w:rsidTr="008D73C9">
        <w:trPr>
          <w:trHeight w:val="315"/>
        </w:trPr>
        <w:tc>
          <w:tcPr>
            <w:tcW w:w="1276" w:type="dxa"/>
            <w:shd w:val="clear" w:color="auto" w:fill="auto"/>
            <w:noWrap/>
            <w:hideMark/>
          </w:tcPr>
          <w:p w14:paraId="0B3B3ECE" w14:textId="77777777" w:rsidR="005B0885" w:rsidRPr="00781608" w:rsidRDefault="005B0885" w:rsidP="008D73C9">
            <w:pPr>
              <w:rPr>
                <w:rFonts w:asciiTheme="minorHAnsi" w:eastAsia="Times New Roman" w:hAnsiTheme="minorHAnsi" w:cstheme="minorHAnsi"/>
                <w:b/>
                <w:bCs/>
                <w:color w:val="000000"/>
                <w:lang w:val="en-US" w:eastAsia="en-US" w:bidi="gu-IN"/>
              </w:rPr>
            </w:pPr>
          </w:p>
        </w:tc>
        <w:tc>
          <w:tcPr>
            <w:tcW w:w="4453" w:type="dxa"/>
            <w:shd w:val="clear" w:color="auto" w:fill="auto"/>
            <w:noWrap/>
            <w:hideMark/>
          </w:tcPr>
          <w:p w14:paraId="7AE52EC9" w14:textId="77777777" w:rsidR="005B0885" w:rsidRPr="00781608" w:rsidRDefault="005B0885" w:rsidP="008D73C9">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b/>
                <w:bCs/>
                <w:color w:val="000000"/>
                <w:lang w:val="en-US" w:eastAsia="en-US" w:bidi="gu-IN"/>
              </w:rPr>
              <w:t>Total</w:t>
            </w:r>
          </w:p>
        </w:tc>
        <w:tc>
          <w:tcPr>
            <w:tcW w:w="1926" w:type="dxa"/>
            <w:shd w:val="clear" w:color="auto" w:fill="auto"/>
            <w:noWrap/>
            <w:hideMark/>
          </w:tcPr>
          <w:p w14:paraId="4540DFF0" w14:textId="77777777" w:rsidR="005B0885" w:rsidRPr="00781608" w:rsidRDefault="005B0885" w:rsidP="008D73C9">
            <w:pPr>
              <w:jc w:val="right"/>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b/>
                <w:bCs/>
                <w:color w:val="000000"/>
                <w:lang w:val="en-US" w:eastAsia="en-US" w:bidi="gu-IN"/>
              </w:rPr>
              <w:t>2,94,61,974</w:t>
            </w:r>
          </w:p>
        </w:tc>
      </w:tr>
    </w:tbl>
    <w:p w14:paraId="5EA2D1C0" w14:textId="28CFA5AB" w:rsidR="005B0885" w:rsidRDefault="005B0885" w:rsidP="00E0692B">
      <w:pPr>
        <w:pStyle w:val="ydp360db5b4yiv6248630976msolistparagraph"/>
        <w:spacing w:beforeAutospacing="0" w:after="200" w:afterAutospacing="0" w:line="276" w:lineRule="auto"/>
        <w:ind w:left="720"/>
        <w:jc w:val="both"/>
        <w:rPr>
          <w:rFonts w:asciiTheme="minorHAnsi" w:eastAsia="Times New Roman" w:hAnsiTheme="minorHAnsi" w:cstheme="minorHAnsi"/>
          <w:b/>
          <w:bCs/>
          <w:sz w:val="24"/>
          <w:szCs w:val="24"/>
        </w:rPr>
      </w:pPr>
    </w:p>
    <w:p w14:paraId="41134E1D" w14:textId="77777777" w:rsidR="005B0885" w:rsidRPr="00781608" w:rsidRDefault="005B0885" w:rsidP="00E0692B">
      <w:pPr>
        <w:pStyle w:val="ydp360db5b4yiv6248630976msolistparagraph"/>
        <w:spacing w:beforeAutospacing="0" w:after="200" w:afterAutospacing="0" w:line="276" w:lineRule="auto"/>
        <w:ind w:left="720"/>
        <w:jc w:val="both"/>
        <w:rPr>
          <w:rFonts w:asciiTheme="minorHAnsi" w:eastAsia="Times New Roman" w:hAnsiTheme="minorHAnsi" w:cstheme="minorHAnsi"/>
          <w:b/>
          <w:bCs/>
          <w:sz w:val="24"/>
          <w:szCs w:val="24"/>
        </w:rPr>
      </w:pPr>
    </w:p>
    <w:bookmarkEnd w:id="7"/>
    <w:bookmarkEnd w:id="8"/>
    <w:p w14:paraId="40FDFA66" w14:textId="7498BF3A" w:rsidR="008C6F55" w:rsidRPr="00781608" w:rsidRDefault="008C6F55" w:rsidP="008C6F55">
      <w:pPr>
        <w:pStyle w:val="ydp360db5b4yiv6248630976msolistparagraph"/>
        <w:spacing w:beforeAutospacing="0" w:after="200" w:afterAutospacing="0" w:line="276" w:lineRule="auto"/>
        <w:ind w:left="720"/>
        <w:jc w:val="both"/>
        <w:rPr>
          <w:rFonts w:asciiTheme="minorHAnsi" w:eastAsia="Times New Roman" w:hAnsiTheme="minorHAnsi" w:cstheme="minorHAnsi"/>
          <w:b/>
          <w:bCs/>
          <w:sz w:val="24"/>
          <w:szCs w:val="24"/>
        </w:rPr>
      </w:pPr>
      <w:r w:rsidRPr="00781608">
        <w:rPr>
          <w:rFonts w:asciiTheme="minorHAnsi" w:eastAsia="Times New Roman" w:hAnsiTheme="minorHAnsi" w:cstheme="minorHAnsi"/>
          <w:b/>
          <w:bCs/>
          <w:sz w:val="24"/>
          <w:szCs w:val="24"/>
        </w:rPr>
        <w:lastRenderedPageBreak/>
        <w:t>Other Administration &amp; general Expenses</w:t>
      </w: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819"/>
        <w:gridCol w:w="1560"/>
      </w:tblGrid>
      <w:tr w:rsidR="008C6F55" w:rsidRPr="00781608" w14:paraId="63DC2CE2" w14:textId="77777777" w:rsidTr="005B0885">
        <w:trPr>
          <w:trHeight w:val="315"/>
          <w:tblHeader/>
        </w:trPr>
        <w:tc>
          <w:tcPr>
            <w:tcW w:w="1276" w:type="dxa"/>
            <w:shd w:val="clear" w:color="auto" w:fill="DEEAF6" w:themeFill="accent5" w:themeFillTint="33"/>
            <w:noWrap/>
            <w:hideMark/>
          </w:tcPr>
          <w:p w14:paraId="6A7BF531" w14:textId="1C01A83C" w:rsidR="008C6F55" w:rsidRPr="00781608" w:rsidRDefault="008C6F55" w:rsidP="00D944B7">
            <w:pPr>
              <w:jc w:val="cente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b/>
                <w:bCs/>
                <w:color w:val="000000"/>
                <w:lang w:val="en-US" w:eastAsia="en-US" w:bidi="gu-IN"/>
              </w:rPr>
              <w:t>A</w:t>
            </w:r>
            <w:r w:rsidR="00EA50F2" w:rsidRPr="00781608">
              <w:rPr>
                <w:rFonts w:asciiTheme="minorHAnsi" w:eastAsia="Times New Roman" w:hAnsiTheme="minorHAnsi" w:cstheme="minorHAnsi"/>
                <w:b/>
                <w:bCs/>
                <w:color w:val="000000"/>
                <w:lang w:val="en-US" w:eastAsia="en-US" w:bidi="gu-IN"/>
              </w:rPr>
              <w:t xml:space="preserve">/C </w:t>
            </w:r>
            <w:r w:rsidRPr="00781608">
              <w:rPr>
                <w:rFonts w:asciiTheme="minorHAnsi" w:eastAsia="Times New Roman" w:hAnsiTheme="minorHAnsi" w:cstheme="minorHAnsi"/>
                <w:b/>
                <w:bCs/>
                <w:color w:val="000000"/>
                <w:lang w:val="en-US" w:eastAsia="en-US" w:bidi="gu-IN"/>
              </w:rPr>
              <w:t>Head</w:t>
            </w:r>
          </w:p>
        </w:tc>
        <w:tc>
          <w:tcPr>
            <w:tcW w:w="4819" w:type="dxa"/>
            <w:shd w:val="clear" w:color="auto" w:fill="DEEAF6" w:themeFill="accent5" w:themeFillTint="33"/>
            <w:noWrap/>
            <w:hideMark/>
          </w:tcPr>
          <w:p w14:paraId="307A4659" w14:textId="77777777" w:rsidR="008C6F55" w:rsidRPr="00781608" w:rsidRDefault="008C6F55" w:rsidP="00D944B7">
            <w:pPr>
              <w:jc w:val="cente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b/>
                <w:bCs/>
                <w:color w:val="000000"/>
                <w:lang w:val="en-US" w:eastAsia="en-US" w:bidi="gu-IN"/>
              </w:rPr>
              <w:t>Description</w:t>
            </w:r>
          </w:p>
        </w:tc>
        <w:tc>
          <w:tcPr>
            <w:tcW w:w="1560" w:type="dxa"/>
            <w:shd w:val="clear" w:color="auto" w:fill="DEEAF6" w:themeFill="accent5" w:themeFillTint="33"/>
            <w:noWrap/>
            <w:hideMark/>
          </w:tcPr>
          <w:p w14:paraId="5DE98D3C" w14:textId="0FC672F9" w:rsidR="008C6F55" w:rsidRPr="00781608" w:rsidRDefault="008C6F55" w:rsidP="00D944B7">
            <w:pPr>
              <w:jc w:val="cente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b/>
                <w:bCs/>
                <w:color w:val="000000"/>
                <w:lang w:val="en-US" w:eastAsia="en-US" w:bidi="gu-IN"/>
              </w:rPr>
              <w:t xml:space="preserve">CB </w:t>
            </w:r>
            <w:r w:rsidR="00EA50F2" w:rsidRPr="00781608">
              <w:rPr>
                <w:rFonts w:asciiTheme="minorHAnsi" w:eastAsia="Times New Roman" w:hAnsiTheme="minorHAnsi" w:cstheme="minorHAnsi"/>
                <w:b/>
                <w:bCs/>
                <w:color w:val="000000"/>
                <w:lang w:val="en-US" w:eastAsia="en-US" w:bidi="gu-IN"/>
              </w:rPr>
              <w:t>31-03-21</w:t>
            </w:r>
          </w:p>
        </w:tc>
      </w:tr>
      <w:tr w:rsidR="00EA50F2" w:rsidRPr="00781608" w14:paraId="226CA2E3" w14:textId="77777777" w:rsidTr="00EA50F2">
        <w:trPr>
          <w:trHeight w:val="99"/>
        </w:trPr>
        <w:tc>
          <w:tcPr>
            <w:tcW w:w="1276" w:type="dxa"/>
            <w:shd w:val="clear" w:color="auto" w:fill="auto"/>
            <w:noWrap/>
            <w:hideMark/>
          </w:tcPr>
          <w:p w14:paraId="10B2BE22" w14:textId="5E56B503"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76108</w:t>
            </w:r>
          </w:p>
        </w:tc>
        <w:tc>
          <w:tcPr>
            <w:tcW w:w="4819" w:type="dxa"/>
            <w:shd w:val="clear" w:color="auto" w:fill="auto"/>
            <w:noWrap/>
            <w:hideMark/>
          </w:tcPr>
          <w:p w14:paraId="3434E4A3" w14:textId="363A9C4D"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Testing Charges</w:t>
            </w:r>
          </w:p>
        </w:tc>
        <w:tc>
          <w:tcPr>
            <w:tcW w:w="1560" w:type="dxa"/>
            <w:shd w:val="clear" w:color="auto" w:fill="auto"/>
            <w:noWrap/>
            <w:hideMark/>
          </w:tcPr>
          <w:p w14:paraId="6C340339" w14:textId="64C741ED"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1,18,23,437</w:t>
            </w:r>
          </w:p>
        </w:tc>
      </w:tr>
      <w:tr w:rsidR="00EA50F2" w:rsidRPr="00781608" w14:paraId="4FF42CB7" w14:textId="77777777" w:rsidTr="00EA50F2">
        <w:trPr>
          <w:trHeight w:val="300"/>
        </w:trPr>
        <w:tc>
          <w:tcPr>
            <w:tcW w:w="1276" w:type="dxa"/>
            <w:shd w:val="clear" w:color="auto" w:fill="auto"/>
            <w:noWrap/>
            <w:hideMark/>
          </w:tcPr>
          <w:p w14:paraId="3CB197A3" w14:textId="69213FC1"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76111</w:t>
            </w:r>
          </w:p>
        </w:tc>
        <w:tc>
          <w:tcPr>
            <w:tcW w:w="4819" w:type="dxa"/>
            <w:shd w:val="clear" w:color="auto" w:fill="auto"/>
            <w:noWrap/>
            <w:hideMark/>
          </w:tcPr>
          <w:p w14:paraId="04131266" w14:textId="41DBFD16"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Telephones And Trunk</w:t>
            </w:r>
            <w:r w:rsidR="004F5386" w:rsidRPr="00781608">
              <w:rPr>
                <w:rFonts w:asciiTheme="minorHAnsi" w:eastAsia="Times New Roman" w:hAnsiTheme="minorHAnsi" w:cstheme="minorHAnsi"/>
                <w:color w:val="000000"/>
                <w:lang w:val="en-US" w:eastAsia="en-US" w:bidi="gu-IN"/>
              </w:rPr>
              <w:t xml:space="preserve"> </w:t>
            </w:r>
            <w:r w:rsidRPr="00781608">
              <w:rPr>
                <w:rFonts w:asciiTheme="minorHAnsi" w:eastAsia="Times New Roman" w:hAnsiTheme="minorHAnsi" w:cstheme="minorHAnsi"/>
                <w:color w:val="000000"/>
                <w:lang w:val="en-US" w:eastAsia="en-US" w:bidi="gu-IN"/>
              </w:rPr>
              <w:t>calls</w:t>
            </w:r>
          </w:p>
        </w:tc>
        <w:tc>
          <w:tcPr>
            <w:tcW w:w="1560" w:type="dxa"/>
            <w:shd w:val="clear" w:color="auto" w:fill="auto"/>
            <w:noWrap/>
            <w:hideMark/>
          </w:tcPr>
          <w:p w14:paraId="6AB57FC9" w14:textId="6F82CA53"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25,08,944</w:t>
            </w:r>
          </w:p>
        </w:tc>
      </w:tr>
      <w:tr w:rsidR="00EA50F2" w:rsidRPr="00781608" w14:paraId="7AB1DB54" w14:textId="77777777" w:rsidTr="00EA50F2">
        <w:trPr>
          <w:trHeight w:val="300"/>
        </w:trPr>
        <w:tc>
          <w:tcPr>
            <w:tcW w:w="1276" w:type="dxa"/>
            <w:shd w:val="clear" w:color="auto" w:fill="auto"/>
            <w:noWrap/>
            <w:hideMark/>
          </w:tcPr>
          <w:p w14:paraId="65645B7E" w14:textId="0AD0D592"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76112</w:t>
            </w:r>
          </w:p>
        </w:tc>
        <w:tc>
          <w:tcPr>
            <w:tcW w:w="4819" w:type="dxa"/>
            <w:shd w:val="clear" w:color="auto" w:fill="auto"/>
            <w:noWrap/>
            <w:hideMark/>
          </w:tcPr>
          <w:p w14:paraId="5616EA02" w14:textId="5213271A"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Postage And Telegrams</w:t>
            </w:r>
          </w:p>
        </w:tc>
        <w:tc>
          <w:tcPr>
            <w:tcW w:w="1560" w:type="dxa"/>
            <w:shd w:val="clear" w:color="auto" w:fill="auto"/>
            <w:noWrap/>
            <w:hideMark/>
          </w:tcPr>
          <w:p w14:paraId="481C2485" w14:textId="446F6B68"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62,28,685</w:t>
            </w:r>
          </w:p>
        </w:tc>
      </w:tr>
      <w:tr w:rsidR="00EA50F2" w:rsidRPr="00781608" w14:paraId="597A4C2F" w14:textId="77777777" w:rsidTr="00EA50F2">
        <w:trPr>
          <w:trHeight w:val="300"/>
        </w:trPr>
        <w:tc>
          <w:tcPr>
            <w:tcW w:w="1276" w:type="dxa"/>
            <w:shd w:val="clear" w:color="auto" w:fill="auto"/>
            <w:noWrap/>
            <w:hideMark/>
          </w:tcPr>
          <w:p w14:paraId="14381DA1" w14:textId="01E27F1E"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76113</w:t>
            </w:r>
          </w:p>
        </w:tc>
        <w:tc>
          <w:tcPr>
            <w:tcW w:w="4819" w:type="dxa"/>
            <w:shd w:val="clear" w:color="auto" w:fill="auto"/>
            <w:noWrap/>
            <w:hideMark/>
          </w:tcPr>
          <w:p w14:paraId="47D5638F" w14:textId="350B5595"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Telexes &amp; Teleprinter Ch</w:t>
            </w:r>
            <w:r w:rsidR="004F5386" w:rsidRPr="00781608">
              <w:rPr>
                <w:rFonts w:asciiTheme="minorHAnsi" w:eastAsia="Times New Roman" w:hAnsiTheme="minorHAnsi" w:cstheme="minorHAnsi"/>
                <w:color w:val="000000"/>
                <w:lang w:val="en-US" w:eastAsia="en-US" w:bidi="gu-IN"/>
              </w:rPr>
              <w:t>a</w:t>
            </w:r>
            <w:r w:rsidRPr="00781608">
              <w:rPr>
                <w:rFonts w:asciiTheme="minorHAnsi" w:eastAsia="Times New Roman" w:hAnsiTheme="minorHAnsi" w:cstheme="minorHAnsi"/>
                <w:color w:val="000000"/>
                <w:lang w:val="en-US" w:eastAsia="en-US" w:bidi="gu-IN"/>
              </w:rPr>
              <w:t>rg</w:t>
            </w:r>
            <w:r w:rsidR="004F5386" w:rsidRPr="00781608">
              <w:rPr>
                <w:rFonts w:asciiTheme="minorHAnsi" w:eastAsia="Times New Roman" w:hAnsiTheme="minorHAnsi" w:cstheme="minorHAnsi"/>
                <w:color w:val="000000"/>
                <w:lang w:val="en-US" w:eastAsia="en-US" w:bidi="gu-IN"/>
              </w:rPr>
              <w:t>e</w:t>
            </w:r>
            <w:r w:rsidRPr="00781608">
              <w:rPr>
                <w:rFonts w:asciiTheme="minorHAnsi" w:eastAsia="Times New Roman" w:hAnsiTheme="minorHAnsi" w:cstheme="minorHAnsi"/>
                <w:color w:val="000000"/>
                <w:lang w:val="en-US" w:eastAsia="en-US" w:bidi="gu-IN"/>
              </w:rPr>
              <w:t>s</w:t>
            </w:r>
          </w:p>
        </w:tc>
        <w:tc>
          <w:tcPr>
            <w:tcW w:w="1560" w:type="dxa"/>
            <w:shd w:val="clear" w:color="auto" w:fill="auto"/>
            <w:noWrap/>
            <w:hideMark/>
          </w:tcPr>
          <w:p w14:paraId="60593605" w14:textId="575DBAC6"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11,675</w:t>
            </w:r>
          </w:p>
        </w:tc>
      </w:tr>
      <w:tr w:rsidR="00EA50F2" w:rsidRPr="00781608" w14:paraId="7AA6D9F5" w14:textId="77777777" w:rsidTr="00EA50F2">
        <w:trPr>
          <w:trHeight w:val="300"/>
        </w:trPr>
        <w:tc>
          <w:tcPr>
            <w:tcW w:w="1276" w:type="dxa"/>
            <w:shd w:val="clear" w:color="auto" w:fill="auto"/>
            <w:noWrap/>
            <w:hideMark/>
          </w:tcPr>
          <w:p w14:paraId="43C99645" w14:textId="5C6E7947"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76114</w:t>
            </w:r>
          </w:p>
        </w:tc>
        <w:tc>
          <w:tcPr>
            <w:tcW w:w="4819" w:type="dxa"/>
            <w:shd w:val="clear" w:color="auto" w:fill="auto"/>
            <w:noWrap/>
            <w:hideMark/>
          </w:tcPr>
          <w:p w14:paraId="27969DD3" w14:textId="477D0A04"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Courier Charges</w:t>
            </w:r>
          </w:p>
        </w:tc>
        <w:tc>
          <w:tcPr>
            <w:tcW w:w="1560" w:type="dxa"/>
            <w:shd w:val="clear" w:color="auto" w:fill="auto"/>
            <w:noWrap/>
            <w:hideMark/>
          </w:tcPr>
          <w:p w14:paraId="58316970" w14:textId="044BFFEE"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2,46,650</w:t>
            </w:r>
          </w:p>
        </w:tc>
      </w:tr>
      <w:tr w:rsidR="00EA50F2" w:rsidRPr="00781608" w14:paraId="17B6598F" w14:textId="77777777" w:rsidTr="00EA50F2">
        <w:trPr>
          <w:trHeight w:val="315"/>
        </w:trPr>
        <w:tc>
          <w:tcPr>
            <w:tcW w:w="1276" w:type="dxa"/>
            <w:shd w:val="clear" w:color="auto" w:fill="auto"/>
            <w:noWrap/>
            <w:hideMark/>
          </w:tcPr>
          <w:p w14:paraId="6E0477E6" w14:textId="66FFF787"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76115</w:t>
            </w:r>
          </w:p>
        </w:tc>
        <w:tc>
          <w:tcPr>
            <w:tcW w:w="4819" w:type="dxa"/>
            <w:shd w:val="clear" w:color="auto" w:fill="auto"/>
            <w:noWrap/>
            <w:hideMark/>
          </w:tcPr>
          <w:p w14:paraId="3C78A1F9" w14:textId="52F839C6"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Fax Charges</w:t>
            </w:r>
          </w:p>
        </w:tc>
        <w:tc>
          <w:tcPr>
            <w:tcW w:w="1560" w:type="dxa"/>
            <w:shd w:val="clear" w:color="auto" w:fill="auto"/>
            <w:noWrap/>
            <w:hideMark/>
          </w:tcPr>
          <w:p w14:paraId="7AEAAB30" w14:textId="2E0CD4CA" w:rsidR="00EA50F2" w:rsidRPr="00781608" w:rsidRDefault="00EA50F2" w:rsidP="00EA50F2">
            <w:pPr>
              <w:jc w:val="right"/>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28,838</w:t>
            </w:r>
          </w:p>
        </w:tc>
      </w:tr>
      <w:tr w:rsidR="00EA50F2" w:rsidRPr="00781608" w14:paraId="79D9CEE1" w14:textId="77777777" w:rsidTr="00EA50F2">
        <w:trPr>
          <w:trHeight w:val="315"/>
        </w:trPr>
        <w:tc>
          <w:tcPr>
            <w:tcW w:w="1276" w:type="dxa"/>
            <w:shd w:val="clear" w:color="auto" w:fill="auto"/>
            <w:noWrap/>
          </w:tcPr>
          <w:p w14:paraId="08741BEC" w14:textId="2D185192"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76116</w:t>
            </w:r>
          </w:p>
        </w:tc>
        <w:tc>
          <w:tcPr>
            <w:tcW w:w="4819" w:type="dxa"/>
            <w:shd w:val="clear" w:color="auto" w:fill="auto"/>
            <w:noWrap/>
          </w:tcPr>
          <w:p w14:paraId="695FDDBC" w14:textId="3776E7B0"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Mobile Phone Expenses</w:t>
            </w:r>
          </w:p>
        </w:tc>
        <w:tc>
          <w:tcPr>
            <w:tcW w:w="1560" w:type="dxa"/>
            <w:shd w:val="clear" w:color="auto" w:fill="auto"/>
            <w:noWrap/>
          </w:tcPr>
          <w:p w14:paraId="1DCA6D8F" w14:textId="53F33272" w:rsidR="00EA50F2" w:rsidRPr="00781608" w:rsidRDefault="00EA50F2" w:rsidP="00EA50F2">
            <w:pPr>
              <w:jc w:val="right"/>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1,61,68,824</w:t>
            </w:r>
          </w:p>
        </w:tc>
      </w:tr>
      <w:tr w:rsidR="00EA50F2" w:rsidRPr="00781608" w14:paraId="7DFAE411" w14:textId="77777777" w:rsidTr="00EA50F2">
        <w:trPr>
          <w:trHeight w:val="315"/>
        </w:trPr>
        <w:tc>
          <w:tcPr>
            <w:tcW w:w="1276" w:type="dxa"/>
            <w:shd w:val="clear" w:color="auto" w:fill="auto"/>
            <w:noWrap/>
          </w:tcPr>
          <w:p w14:paraId="1E9745C0" w14:textId="2D0CE49A"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76123</w:t>
            </w:r>
          </w:p>
        </w:tc>
        <w:tc>
          <w:tcPr>
            <w:tcW w:w="4819" w:type="dxa"/>
            <w:shd w:val="clear" w:color="auto" w:fill="auto"/>
            <w:noWrap/>
          </w:tcPr>
          <w:p w14:paraId="2C5B8E93" w14:textId="770C0BE1"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 xml:space="preserve">Consultancy Fees </w:t>
            </w:r>
            <w:proofErr w:type="gramStart"/>
            <w:r w:rsidRPr="00781608">
              <w:rPr>
                <w:rFonts w:asciiTheme="minorHAnsi" w:eastAsia="Times New Roman" w:hAnsiTheme="minorHAnsi" w:cstheme="minorHAnsi"/>
                <w:color w:val="000000"/>
                <w:lang w:val="en-US" w:eastAsia="en-US" w:bidi="gu-IN"/>
              </w:rPr>
              <w:t>And</w:t>
            </w:r>
            <w:proofErr w:type="gramEnd"/>
            <w:r w:rsidRPr="00781608">
              <w:rPr>
                <w:rFonts w:asciiTheme="minorHAnsi" w:eastAsia="Times New Roman" w:hAnsiTheme="minorHAnsi" w:cstheme="minorHAnsi"/>
                <w:color w:val="000000"/>
                <w:lang w:val="en-US" w:eastAsia="en-US" w:bidi="gu-IN"/>
              </w:rPr>
              <w:t xml:space="preserve"> Expenses</w:t>
            </w:r>
          </w:p>
        </w:tc>
        <w:tc>
          <w:tcPr>
            <w:tcW w:w="1560" w:type="dxa"/>
            <w:shd w:val="clear" w:color="auto" w:fill="auto"/>
            <w:noWrap/>
          </w:tcPr>
          <w:p w14:paraId="4F795D3E" w14:textId="01239FAF"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32,70,876</w:t>
            </w:r>
          </w:p>
        </w:tc>
      </w:tr>
      <w:tr w:rsidR="00EA50F2" w:rsidRPr="00781608" w14:paraId="1C498765" w14:textId="77777777" w:rsidTr="00EA50F2">
        <w:trPr>
          <w:trHeight w:val="315"/>
        </w:trPr>
        <w:tc>
          <w:tcPr>
            <w:tcW w:w="1276" w:type="dxa"/>
            <w:shd w:val="clear" w:color="auto" w:fill="auto"/>
            <w:noWrap/>
          </w:tcPr>
          <w:p w14:paraId="287504A7" w14:textId="105184B2"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76125</w:t>
            </w:r>
          </w:p>
        </w:tc>
        <w:tc>
          <w:tcPr>
            <w:tcW w:w="4819" w:type="dxa"/>
            <w:shd w:val="clear" w:color="auto" w:fill="auto"/>
            <w:noWrap/>
          </w:tcPr>
          <w:p w14:paraId="2C40467F" w14:textId="79352C55"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 xml:space="preserve">Other Prof Fees </w:t>
            </w:r>
            <w:proofErr w:type="gramStart"/>
            <w:r w:rsidRPr="00781608">
              <w:rPr>
                <w:rFonts w:asciiTheme="minorHAnsi" w:eastAsia="Times New Roman" w:hAnsiTheme="minorHAnsi" w:cstheme="minorHAnsi"/>
                <w:color w:val="000000"/>
                <w:lang w:val="en-US" w:eastAsia="en-US" w:bidi="gu-IN"/>
              </w:rPr>
              <w:t>And</w:t>
            </w:r>
            <w:proofErr w:type="gramEnd"/>
            <w:r w:rsidRPr="00781608">
              <w:rPr>
                <w:rFonts w:asciiTheme="minorHAnsi" w:eastAsia="Times New Roman" w:hAnsiTheme="minorHAnsi" w:cstheme="minorHAnsi"/>
                <w:color w:val="000000"/>
                <w:lang w:val="en-US" w:eastAsia="en-US" w:bidi="gu-IN"/>
              </w:rPr>
              <w:t xml:space="preserve"> Expenses</w:t>
            </w:r>
          </w:p>
        </w:tc>
        <w:tc>
          <w:tcPr>
            <w:tcW w:w="1560" w:type="dxa"/>
            <w:shd w:val="clear" w:color="auto" w:fill="auto"/>
            <w:noWrap/>
          </w:tcPr>
          <w:p w14:paraId="38DD4915" w14:textId="43C7AA6C"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20,38,769</w:t>
            </w:r>
          </w:p>
        </w:tc>
      </w:tr>
      <w:tr w:rsidR="00EA50F2" w:rsidRPr="00781608" w14:paraId="3F3C6B40" w14:textId="77777777" w:rsidTr="00EA50F2">
        <w:trPr>
          <w:trHeight w:val="315"/>
        </w:trPr>
        <w:tc>
          <w:tcPr>
            <w:tcW w:w="1276" w:type="dxa"/>
            <w:shd w:val="clear" w:color="auto" w:fill="auto"/>
            <w:noWrap/>
          </w:tcPr>
          <w:p w14:paraId="5A268C0E" w14:textId="37FF432E"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76126</w:t>
            </w:r>
          </w:p>
        </w:tc>
        <w:tc>
          <w:tcPr>
            <w:tcW w:w="4819" w:type="dxa"/>
            <w:shd w:val="clear" w:color="auto" w:fill="auto"/>
            <w:noWrap/>
          </w:tcPr>
          <w:p w14:paraId="13D7E974" w14:textId="056B4FB0"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Documentation And Design Charges</w:t>
            </w:r>
          </w:p>
        </w:tc>
        <w:tc>
          <w:tcPr>
            <w:tcW w:w="1560" w:type="dxa"/>
            <w:shd w:val="clear" w:color="auto" w:fill="auto"/>
            <w:noWrap/>
          </w:tcPr>
          <w:p w14:paraId="5D23BDFD" w14:textId="2EF6D8A6"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6,98,936</w:t>
            </w:r>
          </w:p>
        </w:tc>
      </w:tr>
      <w:tr w:rsidR="00EA50F2" w:rsidRPr="00781608" w14:paraId="723AD6B1" w14:textId="77777777" w:rsidTr="00EA50F2">
        <w:trPr>
          <w:trHeight w:val="315"/>
        </w:trPr>
        <w:tc>
          <w:tcPr>
            <w:tcW w:w="1276" w:type="dxa"/>
            <w:shd w:val="clear" w:color="auto" w:fill="auto"/>
            <w:noWrap/>
          </w:tcPr>
          <w:p w14:paraId="03D98412" w14:textId="540145C3"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76127</w:t>
            </w:r>
          </w:p>
        </w:tc>
        <w:tc>
          <w:tcPr>
            <w:tcW w:w="4819" w:type="dxa"/>
            <w:shd w:val="clear" w:color="auto" w:fill="auto"/>
            <w:noWrap/>
          </w:tcPr>
          <w:p w14:paraId="4AAC68A0" w14:textId="30EB3FB9"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Honorarium</w:t>
            </w:r>
          </w:p>
        </w:tc>
        <w:tc>
          <w:tcPr>
            <w:tcW w:w="1560" w:type="dxa"/>
            <w:shd w:val="clear" w:color="auto" w:fill="auto"/>
            <w:noWrap/>
          </w:tcPr>
          <w:p w14:paraId="5336A3E8" w14:textId="2F5CF982"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3,67,080</w:t>
            </w:r>
          </w:p>
        </w:tc>
      </w:tr>
      <w:tr w:rsidR="00EA50F2" w:rsidRPr="00781608" w14:paraId="57B7AC3E" w14:textId="77777777" w:rsidTr="00EA50F2">
        <w:trPr>
          <w:trHeight w:val="315"/>
        </w:trPr>
        <w:tc>
          <w:tcPr>
            <w:tcW w:w="1276" w:type="dxa"/>
            <w:shd w:val="clear" w:color="auto" w:fill="auto"/>
            <w:noWrap/>
          </w:tcPr>
          <w:p w14:paraId="22F3DAA6" w14:textId="5A300327"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76128</w:t>
            </w:r>
          </w:p>
        </w:tc>
        <w:tc>
          <w:tcPr>
            <w:tcW w:w="4819" w:type="dxa"/>
            <w:shd w:val="clear" w:color="auto" w:fill="auto"/>
            <w:noWrap/>
          </w:tcPr>
          <w:p w14:paraId="0017D3F2" w14:textId="29266ACD"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Expenditure For Paper Setti</w:t>
            </w:r>
            <w:r w:rsidR="004F5386" w:rsidRPr="00781608">
              <w:rPr>
                <w:rFonts w:asciiTheme="minorHAnsi" w:eastAsia="Times New Roman" w:hAnsiTheme="minorHAnsi" w:cstheme="minorHAnsi"/>
                <w:color w:val="000000"/>
                <w:lang w:val="en-US" w:eastAsia="en-US" w:bidi="gu-IN"/>
              </w:rPr>
              <w:t>ng</w:t>
            </w:r>
            <w:r w:rsidRPr="00781608">
              <w:rPr>
                <w:rFonts w:asciiTheme="minorHAnsi" w:eastAsia="Times New Roman" w:hAnsiTheme="minorHAnsi" w:cstheme="minorHAnsi"/>
                <w:color w:val="000000"/>
                <w:lang w:val="en-US" w:eastAsia="en-US" w:bidi="gu-IN"/>
              </w:rPr>
              <w:t xml:space="preserve"> &amp; Checking</w:t>
            </w:r>
          </w:p>
        </w:tc>
        <w:tc>
          <w:tcPr>
            <w:tcW w:w="1560" w:type="dxa"/>
            <w:shd w:val="clear" w:color="auto" w:fill="auto"/>
            <w:noWrap/>
          </w:tcPr>
          <w:p w14:paraId="2D2AA2E3" w14:textId="0ED415A2"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97,58,883</w:t>
            </w:r>
          </w:p>
        </w:tc>
      </w:tr>
      <w:tr w:rsidR="00EA50F2" w:rsidRPr="00781608" w14:paraId="2EC7394C" w14:textId="77777777" w:rsidTr="00EA50F2">
        <w:trPr>
          <w:trHeight w:val="315"/>
        </w:trPr>
        <w:tc>
          <w:tcPr>
            <w:tcW w:w="1276" w:type="dxa"/>
            <w:shd w:val="clear" w:color="auto" w:fill="auto"/>
            <w:noWrap/>
          </w:tcPr>
          <w:p w14:paraId="5652BADF" w14:textId="568D23FD"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76151</w:t>
            </w:r>
          </w:p>
        </w:tc>
        <w:tc>
          <w:tcPr>
            <w:tcW w:w="4819" w:type="dxa"/>
            <w:shd w:val="clear" w:color="auto" w:fill="auto"/>
            <w:noWrap/>
          </w:tcPr>
          <w:p w14:paraId="3ED7E670" w14:textId="52988C52"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Other Fees &amp; Subscriptions</w:t>
            </w:r>
          </w:p>
        </w:tc>
        <w:tc>
          <w:tcPr>
            <w:tcW w:w="1560" w:type="dxa"/>
            <w:shd w:val="clear" w:color="auto" w:fill="auto"/>
            <w:noWrap/>
          </w:tcPr>
          <w:p w14:paraId="7BB01FF7" w14:textId="0BE9BABB"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3,23,503</w:t>
            </w:r>
          </w:p>
        </w:tc>
      </w:tr>
      <w:tr w:rsidR="00EA50F2" w:rsidRPr="00781608" w14:paraId="0B9C902A" w14:textId="77777777" w:rsidTr="00EA50F2">
        <w:trPr>
          <w:trHeight w:val="315"/>
        </w:trPr>
        <w:tc>
          <w:tcPr>
            <w:tcW w:w="1276" w:type="dxa"/>
            <w:shd w:val="clear" w:color="auto" w:fill="auto"/>
            <w:noWrap/>
          </w:tcPr>
          <w:p w14:paraId="08E293DE" w14:textId="34DF198C"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76152</w:t>
            </w:r>
          </w:p>
        </w:tc>
        <w:tc>
          <w:tcPr>
            <w:tcW w:w="4819" w:type="dxa"/>
            <w:shd w:val="clear" w:color="auto" w:fill="auto"/>
            <w:noWrap/>
          </w:tcPr>
          <w:p w14:paraId="774F6AA9" w14:textId="1C6847A0"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Books And P</w:t>
            </w:r>
            <w:r w:rsidR="004F5386" w:rsidRPr="00781608">
              <w:rPr>
                <w:rFonts w:asciiTheme="minorHAnsi" w:eastAsia="Times New Roman" w:hAnsiTheme="minorHAnsi" w:cstheme="minorHAnsi"/>
                <w:color w:val="000000"/>
                <w:lang w:val="en-US" w:eastAsia="en-US" w:bidi="gu-IN"/>
              </w:rPr>
              <w:t>e</w:t>
            </w:r>
            <w:r w:rsidRPr="00781608">
              <w:rPr>
                <w:rFonts w:asciiTheme="minorHAnsi" w:eastAsia="Times New Roman" w:hAnsiTheme="minorHAnsi" w:cstheme="minorHAnsi"/>
                <w:color w:val="000000"/>
                <w:lang w:val="en-US" w:eastAsia="en-US" w:bidi="gu-IN"/>
              </w:rPr>
              <w:t>r</w:t>
            </w:r>
            <w:r w:rsidR="004F5386" w:rsidRPr="00781608">
              <w:rPr>
                <w:rFonts w:asciiTheme="minorHAnsi" w:eastAsia="Times New Roman" w:hAnsiTheme="minorHAnsi" w:cstheme="minorHAnsi"/>
                <w:color w:val="000000"/>
                <w:lang w:val="en-US" w:eastAsia="en-US" w:bidi="gu-IN"/>
              </w:rPr>
              <w:t>io</w:t>
            </w:r>
            <w:r w:rsidRPr="00781608">
              <w:rPr>
                <w:rFonts w:asciiTheme="minorHAnsi" w:eastAsia="Times New Roman" w:hAnsiTheme="minorHAnsi" w:cstheme="minorHAnsi"/>
                <w:color w:val="000000"/>
                <w:lang w:val="en-US" w:eastAsia="en-US" w:bidi="gu-IN"/>
              </w:rPr>
              <w:t>dicals</w:t>
            </w:r>
          </w:p>
        </w:tc>
        <w:tc>
          <w:tcPr>
            <w:tcW w:w="1560" w:type="dxa"/>
            <w:shd w:val="clear" w:color="auto" w:fill="auto"/>
            <w:noWrap/>
          </w:tcPr>
          <w:p w14:paraId="3CBBCC62" w14:textId="64110D17"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3,62,461</w:t>
            </w:r>
          </w:p>
        </w:tc>
      </w:tr>
      <w:tr w:rsidR="00EA50F2" w:rsidRPr="00781608" w14:paraId="1F3A328F" w14:textId="77777777" w:rsidTr="00EA50F2">
        <w:trPr>
          <w:trHeight w:val="315"/>
        </w:trPr>
        <w:tc>
          <w:tcPr>
            <w:tcW w:w="1276" w:type="dxa"/>
            <w:shd w:val="clear" w:color="auto" w:fill="auto"/>
            <w:noWrap/>
          </w:tcPr>
          <w:p w14:paraId="45F8EA28" w14:textId="38C523FF"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76153</w:t>
            </w:r>
          </w:p>
        </w:tc>
        <w:tc>
          <w:tcPr>
            <w:tcW w:w="4819" w:type="dxa"/>
            <w:shd w:val="clear" w:color="auto" w:fill="auto"/>
            <w:noWrap/>
          </w:tcPr>
          <w:p w14:paraId="793BE143" w14:textId="3AA3CC00"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Printing &amp; Stationery</w:t>
            </w:r>
          </w:p>
        </w:tc>
        <w:tc>
          <w:tcPr>
            <w:tcW w:w="1560" w:type="dxa"/>
            <w:shd w:val="clear" w:color="auto" w:fill="auto"/>
            <w:noWrap/>
          </w:tcPr>
          <w:p w14:paraId="093DB44A" w14:textId="7073C6C2"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3,99,04,444</w:t>
            </w:r>
          </w:p>
        </w:tc>
      </w:tr>
      <w:tr w:rsidR="00EA50F2" w:rsidRPr="00781608" w14:paraId="337232A6" w14:textId="77777777" w:rsidTr="00EA50F2">
        <w:trPr>
          <w:trHeight w:val="315"/>
        </w:trPr>
        <w:tc>
          <w:tcPr>
            <w:tcW w:w="1276" w:type="dxa"/>
            <w:shd w:val="clear" w:color="auto" w:fill="auto"/>
            <w:noWrap/>
          </w:tcPr>
          <w:p w14:paraId="142A4879" w14:textId="33B1C1AB"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76154</w:t>
            </w:r>
          </w:p>
        </w:tc>
        <w:tc>
          <w:tcPr>
            <w:tcW w:w="4819" w:type="dxa"/>
            <w:shd w:val="clear" w:color="auto" w:fill="auto"/>
            <w:noWrap/>
          </w:tcPr>
          <w:p w14:paraId="352B12F0" w14:textId="1E5C1286"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 xml:space="preserve">Expenditure On Computer Billing &amp; </w:t>
            </w:r>
            <w:proofErr w:type="spellStart"/>
            <w:r w:rsidRPr="00781608">
              <w:rPr>
                <w:rFonts w:asciiTheme="minorHAnsi" w:eastAsia="Times New Roman" w:hAnsiTheme="minorHAnsi" w:cstheme="minorHAnsi"/>
                <w:color w:val="000000"/>
                <w:lang w:val="en-US" w:eastAsia="en-US" w:bidi="gu-IN"/>
              </w:rPr>
              <w:t>Edp</w:t>
            </w:r>
            <w:proofErr w:type="spellEnd"/>
            <w:r w:rsidRPr="00781608">
              <w:rPr>
                <w:rFonts w:asciiTheme="minorHAnsi" w:eastAsia="Times New Roman" w:hAnsiTheme="minorHAnsi" w:cstheme="minorHAnsi"/>
                <w:color w:val="000000"/>
                <w:lang w:val="en-US" w:eastAsia="en-US" w:bidi="gu-IN"/>
              </w:rPr>
              <w:t xml:space="preserve"> </w:t>
            </w:r>
            <w:proofErr w:type="spellStart"/>
            <w:r w:rsidRPr="00781608">
              <w:rPr>
                <w:rFonts w:asciiTheme="minorHAnsi" w:eastAsia="Times New Roman" w:hAnsiTheme="minorHAnsi" w:cstheme="minorHAnsi"/>
                <w:color w:val="000000"/>
                <w:lang w:val="en-US" w:eastAsia="en-US" w:bidi="gu-IN"/>
              </w:rPr>
              <w:t>Chags</w:t>
            </w:r>
            <w:proofErr w:type="spellEnd"/>
            <w:r w:rsidRPr="00781608">
              <w:rPr>
                <w:rFonts w:asciiTheme="minorHAnsi" w:eastAsia="Times New Roman" w:hAnsiTheme="minorHAnsi" w:cstheme="minorHAnsi"/>
                <w:color w:val="000000"/>
                <w:lang w:val="en-US" w:eastAsia="en-US" w:bidi="gu-IN"/>
              </w:rPr>
              <w:t>.</w:t>
            </w:r>
          </w:p>
        </w:tc>
        <w:tc>
          <w:tcPr>
            <w:tcW w:w="1560" w:type="dxa"/>
            <w:shd w:val="clear" w:color="auto" w:fill="auto"/>
            <w:noWrap/>
          </w:tcPr>
          <w:p w14:paraId="508257E1" w14:textId="7209A59A"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3,46,05,333</w:t>
            </w:r>
          </w:p>
        </w:tc>
      </w:tr>
      <w:tr w:rsidR="00EA50F2" w:rsidRPr="00781608" w14:paraId="0C053852" w14:textId="77777777" w:rsidTr="00EA50F2">
        <w:trPr>
          <w:trHeight w:val="315"/>
        </w:trPr>
        <w:tc>
          <w:tcPr>
            <w:tcW w:w="1276" w:type="dxa"/>
            <w:shd w:val="clear" w:color="auto" w:fill="auto"/>
            <w:noWrap/>
          </w:tcPr>
          <w:p w14:paraId="65DE646A" w14:textId="15F0CFE6"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76156</w:t>
            </w:r>
          </w:p>
        </w:tc>
        <w:tc>
          <w:tcPr>
            <w:tcW w:w="4819" w:type="dxa"/>
            <w:shd w:val="clear" w:color="auto" w:fill="auto"/>
            <w:noWrap/>
          </w:tcPr>
          <w:p w14:paraId="1FBF1572" w14:textId="146D159B" w:rsidR="00EA50F2" w:rsidRPr="00781608" w:rsidRDefault="00EA50F2" w:rsidP="00EA50F2">
            <w:pPr>
              <w:rPr>
                <w:rFonts w:asciiTheme="minorHAnsi" w:eastAsia="Times New Roman" w:hAnsiTheme="minorHAnsi" w:cstheme="minorHAnsi"/>
                <w:color w:val="000000"/>
                <w:lang w:val="en-US" w:eastAsia="en-US" w:bidi="gu-IN"/>
              </w:rPr>
            </w:pPr>
            <w:proofErr w:type="spellStart"/>
            <w:r w:rsidRPr="00781608">
              <w:rPr>
                <w:rFonts w:asciiTheme="minorHAnsi" w:eastAsia="Times New Roman" w:hAnsiTheme="minorHAnsi" w:cstheme="minorHAnsi"/>
                <w:color w:val="000000"/>
                <w:lang w:val="en-US" w:eastAsia="en-US" w:bidi="gu-IN"/>
              </w:rPr>
              <w:t>Zerox</w:t>
            </w:r>
            <w:proofErr w:type="spellEnd"/>
            <w:r w:rsidRPr="00781608">
              <w:rPr>
                <w:rFonts w:asciiTheme="minorHAnsi" w:eastAsia="Times New Roman" w:hAnsiTheme="minorHAnsi" w:cstheme="minorHAnsi"/>
                <w:color w:val="000000"/>
                <w:lang w:val="en-US" w:eastAsia="en-US" w:bidi="gu-IN"/>
              </w:rPr>
              <w:t xml:space="preserve"> Copy Charges</w:t>
            </w:r>
          </w:p>
        </w:tc>
        <w:tc>
          <w:tcPr>
            <w:tcW w:w="1560" w:type="dxa"/>
            <w:shd w:val="clear" w:color="auto" w:fill="auto"/>
            <w:noWrap/>
          </w:tcPr>
          <w:p w14:paraId="00A66F37" w14:textId="2E526FE8"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47,37,146</w:t>
            </w:r>
          </w:p>
        </w:tc>
      </w:tr>
      <w:tr w:rsidR="00EA50F2" w:rsidRPr="00781608" w14:paraId="5AB50248" w14:textId="77777777" w:rsidTr="00EA50F2">
        <w:trPr>
          <w:trHeight w:val="315"/>
        </w:trPr>
        <w:tc>
          <w:tcPr>
            <w:tcW w:w="1276" w:type="dxa"/>
            <w:shd w:val="clear" w:color="auto" w:fill="auto"/>
            <w:noWrap/>
          </w:tcPr>
          <w:p w14:paraId="3DBDE998" w14:textId="1478F23C"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76157</w:t>
            </w:r>
          </w:p>
        </w:tc>
        <w:tc>
          <w:tcPr>
            <w:tcW w:w="4819" w:type="dxa"/>
            <w:shd w:val="clear" w:color="auto" w:fill="auto"/>
            <w:noWrap/>
          </w:tcPr>
          <w:p w14:paraId="39B7368C" w14:textId="2057CFEC" w:rsidR="00EA50F2" w:rsidRPr="00781608" w:rsidRDefault="00EA50F2" w:rsidP="00EA50F2">
            <w:pPr>
              <w:rPr>
                <w:rFonts w:asciiTheme="minorHAnsi" w:eastAsia="Times New Roman" w:hAnsiTheme="minorHAnsi" w:cstheme="minorHAnsi"/>
                <w:color w:val="000000"/>
                <w:lang w:val="en-US" w:eastAsia="en-US" w:bidi="gu-IN"/>
              </w:rPr>
            </w:pPr>
            <w:proofErr w:type="spellStart"/>
            <w:r w:rsidRPr="00781608">
              <w:rPr>
                <w:rFonts w:asciiTheme="minorHAnsi" w:eastAsia="Times New Roman" w:hAnsiTheme="minorHAnsi" w:cstheme="minorHAnsi"/>
                <w:color w:val="000000"/>
                <w:lang w:val="en-US" w:eastAsia="en-US" w:bidi="gu-IN"/>
              </w:rPr>
              <w:t>Contri.S</w:t>
            </w:r>
            <w:proofErr w:type="spellEnd"/>
            <w:r w:rsidRPr="00781608">
              <w:rPr>
                <w:rFonts w:asciiTheme="minorHAnsi" w:eastAsia="Times New Roman" w:hAnsiTheme="minorHAnsi" w:cstheme="minorHAnsi"/>
                <w:color w:val="000000"/>
                <w:lang w:val="en-US" w:eastAsia="en-US" w:bidi="gu-IN"/>
              </w:rPr>
              <w:t xml:space="preserve"> &amp; Charities</w:t>
            </w:r>
          </w:p>
        </w:tc>
        <w:tc>
          <w:tcPr>
            <w:tcW w:w="1560" w:type="dxa"/>
            <w:shd w:val="clear" w:color="auto" w:fill="auto"/>
            <w:noWrap/>
          </w:tcPr>
          <w:p w14:paraId="44B479E4" w14:textId="5AB1EBD6"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50,000</w:t>
            </w:r>
          </w:p>
        </w:tc>
      </w:tr>
      <w:tr w:rsidR="00EA50F2" w:rsidRPr="00781608" w14:paraId="145F1B98" w14:textId="77777777" w:rsidTr="00EA50F2">
        <w:trPr>
          <w:trHeight w:val="315"/>
        </w:trPr>
        <w:tc>
          <w:tcPr>
            <w:tcW w:w="1276" w:type="dxa"/>
            <w:shd w:val="clear" w:color="auto" w:fill="auto"/>
            <w:noWrap/>
          </w:tcPr>
          <w:p w14:paraId="0BA8AFBE" w14:textId="0B89BC2A"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76160</w:t>
            </w:r>
          </w:p>
        </w:tc>
        <w:tc>
          <w:tcPr>
            <w:tcW w:w="4819" w:type="dxa"/>
            <w:shd w:val="clear" w:color="auto" w:fill="auto"/>
            <w:noWrap/>
          </w:tcPr>
          <w:p w14:paraId="616ABA8D" w14:textId="2D41542E"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Water Ch</w:t>
            </w:r>
            <w:r w:rsidR="004F5386" w:rsidRPr="00781608">
              <w:rPr>
                <w:rFonts w:asciiTheme="minorHAnsi" w:eastAsia="Times New Roman" w:hAnsiTheme="minorHAnsi" w:cstheme="minorHAnsi"/>
                <w:color w:val="000000"/>
                <w:lang w:val="en-US" w:eastAsia="en-US" w:bidi="gu-IN"/>
              </w:rPr>
              <w:t>a</w:t>
            </w:r>
            <w:r w:rsidRPr="00781608">
              <w:rPr>
                <w:rFonts w:asciiTheme="minorHAnsi" w:eastAsia="Times New Roman" w:hAnsiTheme="minorHAnsi" w:cstheme="minorHAnsi"/>
                <w:color w:val="000000"/>
                <w:lang w:val="en-US" w:eastAsia="en-US" w:bidi="gu-IN"/>
              </w:rPr>
              <w:t>rg</w:t>
            </w:r>
            <w:r w:rsidR="004F5386" w:rsidRPr="00781608">
              <w:rPr>
                <w:rFonts w:asciiTheme="minorHAnsi" w:eastAsia="Times New Roman" w:hAnsiTheme="minorHAnsi" w:cstheme="minorHAnsi"/>
                <w:color w:val="000000"/>
                <w:lang w:val="en-US" w:eastAsia="en-US" w:bidi="gu-IN"/>
              </w:rPr>
              <w:t>e</w:t>
            </w:r>
            <w:r w:rsidRPr="00781608">
              <w:rPr>
                <w:rFonts w:asciiTheme="minorHAnsi" w:eastAsia="Times New Roman" w:hAnsiTheme="minorHAnsi" w:cstheme="minorHAnsi"/>
                <w:color w:val="000000"/>
                <w:lang w:val="en-US" w:eastAsia="en-US" w:bidi="gu-IN"/>
              </w:rPr>
              <w:t>s</w:t>
            </w:r>
          </w:p>
        </w:tc>
        <w:tc>
          <w:tcPr>
            <w:tcW w:w="1560" w:type="dxa"/>
            <w:shd w:val="clear" w:color="auto" w:fill="auto"/>
            <w:noWrap/>
          </w:tcPr>
          <w:p w14:paraId="5683ABB5" w14:textId="211A47D0"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86,32,993</w:t>
            </w:r>
          </w:p>
        </w:tc>
      </w:tr>
      <w:tr w:rsidR="00EA50F2" w:rsidRPr="00781608" w14:paraId="2B0D88B1" w14:textId="77777777" w:rsidTr="00EA50F2">
        <w:trPr>
          <w:trHeight w:val="315"/>
        </w:trPr>
        <w:tc>
          <w:tcPr>
            <w:tcW w:w="1276" w:type="dxa"/>
            <w:shd w:val="clear" w:color="auto" w:fill="auto"/>
            <w:noWrap/>
          </w:tcPr>
          <w:p w14:paraId="2CFE318E" w14:textId="5ABA8C94"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76165</w:t>
            </w:r>
          </w:p>
        </w:tc>
        <w:tc>
          <w:tcPr>
            <w:tcW w:w="4819" w:type="dxa"/>
            <w:shd w:val="clear" w:color="auto" w:fill="auto"/>
            <w:noWrap/>
          </w:tcPr>
          <w:p w14:paraId="2EBFCE0F" w14:textId="478408C9"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Guest House Expenses</w:t>
            </w:r>
          </w:p>
        </w:tc>
        <w:tc>
          <w:tcPr>
            <w:tcW w:w="1560" w:type="dxa"/>
            <w:shd w:val="clear" w:color="auto" w:fill="auto"/>
            <w:noWrap/>
          </w:tcPr>
          <w:p w14:paraId="0F50D524" w14:textId="09EC094C"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21,59,700</w:t>
            </w:r>
          </w:p>
        </w:tc>
      </w:tr>
      <w:tr w:rsidR="00EA50F2" w:rsidRPr="00781608" w14:paraId="49EC6A99" w14:textId="77777777" w:rsidTr="00EA50F2">
        <w:trPr>
          <w:trHeight w:val="315"/>
        </w:trPr>
        <w:tc>
          <w:tcPr>
            <w:tcW w:w="1276" w:type="dxa"/>
            <w:shd w:val="clear" w:color="auto" w:fill="auto"/>
            <w:noWrap/>
          </w:tcPr>
          <w:p w14:paraId="35E69E2A" w14:textId="4BA2791C"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76166</w:t>
            </w:r>
          </w:p>
        </w:tc>
        <w:tc>
          <w:tcPr>
            <w:tcW w:w="4819" w:type="dxa"/>
            <w:shd w:val="clear" w:color="auto" w:fill="auto"/>
            <w:noWrap/>
          </w:tcPr>
          <w:p w14:paraId="6B4E9090" w14:textId="2C3F8AA4"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Upkeep Of Office/Board-S Premises.</w:t>
            </w:r>
          </w:p>
        </w:tc>
        <w:tc>
          <w:tcPr>
            <w:tcW w:w="1560" w:type="dxa"/>
            <w:shd w:val="clear" w:color="auto" w:fill="auto"/>
            <w:noWrap/>
          </w:tcPr>
          <w:p w14:paraId="400CE650" w14:textId="0AE78035"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1,38,03,878</w:t>
            </w:r>
          </w:p>
        </w:tc>
      </w:tr>
      <w:tr w:rsidR="00EA50F2" w:rsidRPr="00781608" w14:paraId="06E57D68" w14:textId="77777777" w:rsidTr="00EA50F2">
        <w:trPr>
          <w:trHeight w:val="315"/>
        </w:trPr>
        <w:tc>
          <w:tcPr>
            <w:tcW w:w="1276" w:type="dxa"/>
            <w:shd w:val="clear" w:color="auto" w:fill="auto"/>
            <w:noWrap/>
          </w:tcPr>
          <w:p w14:paraId="470B9055" w14:textId="793BA303"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76168</w:t>
            </w:r>
          </w:p>
        </w:tc>
        <w:tc>
          <w:tcPr>
            <w:tcW w:w="4819" w:type="dxa"/>
            <w:shd w:val="clear" w:color="auto" w:fill="auto"/>
            <w:noWrap/>
          </w:tcPr>
          <w:p w14:paraId="21ACDFD4" w14:textId="1A9072E3"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 xml:space="preserve">Expenditure Incurred </w:t>
            </w:r>
            <w:proofErr w:type="gramStart"/>
            <w:r w:rsidRPr="00781608">
              <w:rPr>
                <w:rFonts w:asciiTheme="minorHAnsi" w:eastAsia="Times New Roman" w:hAnsiTheme="minorHAnsi" w:cstheme="minorHAnsi"/>
                <w:color w:val="000000"/>
                <w:lang w:val="en-US" w:eastAsia="en-US" w:bidi="gu-IN"/>
              </w:rPr>
              <w:t>On</w:t>
            </w:r>
            <w:proofErr w:type="gramEnd"/>
            <w:r w:rsidRPr="00781608">
              <w:rPr>
                <w:rFonts w:asciiTheme="minorHAnsi" w:eastAsia="Times New Roman" w:hAnsiTheme="minorHAnsi" w:cstheme="minorHAnsi"/>
                <w:color w:val="000000"/>
                <w:lang w:val="en-US" w:eastAsia="en-US" w:bidi="gu-IN"/>
              </w:rPr>
              <w:t xml:space="preserve"> Consumer Billing &amp; Coll. C</w:t>
            </w:r>
          </w:p>
        </w:tc>
        <w:tc>
          <w:tcPr>
            <w:tcW w:w="1560" w:type="dxa"/>
            <w:shd w:val="clear" w:color="auto" w:fill="auto"/>
            <w:noWrap/>
          </w:tcPr>
          <w:p w14:paraId="00137E6B" w14:textId="003A80AE"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1,37,90,661</w:t>
            </w:r>
          </w:p>
        </w:tc>
      </w:tr>
      <w:tr w:rsidR="00EA50F2" w:rsidRPr="00781608" w14:paraId="5A97ACA3" w14:textId="77777777" w:rsidTr="00EA50F2">
        <w:trPr>
          <w:trHeight w:val="315"/>
        </w:trPr>
        <w:tc>
          <w:tcPr>
            <w:tcW w:w="1276" w:type="dxa"/>
            <w:shd w:val="clear" w:color="auto" w:fill="auto"/>
            <w:noWrap/>
          </w:tcPr>
          <w:p w14:paraId="34EE2C9C" w14:textId="1649740C"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76169</w:t>
            </w:r>
          </w:p>
        </w:tc>
        <w:tc>
          <w:tcPr>
            <w:tcW w:w="4819" w:type="dxa"/>
            <w:shd w:val="clear" w:color="auto" w:fill="auto"/>
            <w:noWrap/>
          </w:tcPr>
          <w:p w14:paraId="30323C0F" w14:textId="0D014F0B"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 xml:space="preserve">Security </w:t>
            </w:r>
            <w:r w:rsidR="004F5386" w:rsidRPr="00781608">
              <w:rPr>
                <w:rFonts w:asciiTheme="minorHAnsi" w:eastAsia="Times New Roman" w:hAnsiTheme="minorHAnsi" w:cstheme="minorHAnsi"/>
                <w:color w:val="000000"/>
                <w:lang w:val="en-US" w:eastAsia="en-US" w:bidi="gu-IN"/>
              </w:rPr>
              <w:t>Measures</w:t>
            </w:r>
            <w:r w:rsidRPr="00781608">
              <w:rPr>
                <w:rFonts w:asciiTheme="minorHAnsi" w:eastAsia="Times New Roman" w:hAnsiTheme="minorHAnsi" w:cstheme="minorHAnsi"/>
                <w:color w:val="000000"/>
                <w:lang w:val="en-US" w:eastAsia="en-US" w:bidi="gu-IN"/>
              </w:rPr>
              <w:t xml:space="preserve"> </w:t>
            </w:r>
            <w:proofErr w:type="gramStart"/>
            <w:r w:rsidRPr="00781608">
              <w:rPr>
                <w:rFonts w:asciiTheme="minorHAnsi" w:eastAsia="Times New Roman" w:hAnsiTheme="minorHAnsi" w:cstheme="minorHAnsi"/>
                <w:color w:val="000000"/>
                <w:lang w:val="en-US" w:eastAsia="en-US" w:bidi="gu-IN"/>
              </w:rPr>
              <w:t>For</w:t>
            </w:r>
            <w:proofErr w:type="gramEnd"/>
            <w:r w:rsidRPr="00781608">
              <w:rPr>
                <w:rFonts w:asciiTheme="minorHAnsi" w:eastAsia="Times New Roman" w:hAnsiTheme="minorHAnsi" w:cstheme="minorHAnsi"/>
                <w:color w:val="000000"/>
                <w:lang w:val="en-US" w:eastAsia="en-US" w:bidi="gu-IN"/>
              </w:rPr>
              <w:t xml:space="preserve"> Safety And Protection</w:t>
            </w:r>
          </w:p>
        </w:tc>
        <w:tc>
          <w:tcPr>
            <w:tcW w:w="1560" w:type="dxa"/>
            <w:shd w:val="clear" w:color="auto" w:fill="auto"/>
            <w:noWrap/>
          </w:tcPr>
          <w:p w14:paraId="1236C7B2" w14:textId="78D1F1E5"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8,33,99,509</w:t>
            </w:r>
          </w:p>
        </w:tc>
      </w:tr>
      <w:tr w:rsidR="00EA50F2" w:rsidRPr="00781608" w14:paraId="49709590" w14:textId="77777777" w:rsidTr="00EA50F2">
        <w:trPr>
          <w:trHeight w:val="315"/>
        </w:trPr>
        <w:tc>
          <w:tcPr>
            <w:tcW w:w="1276" w:type="dxa"/>
            <w:shd w:val="clear" w:color="auto" w:fill="auto"/>
            <w:noWrap/>
          </w:tcPr>
          <w:p w14:paraId="77135677" w14:textId="2C6EB681"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76170</w:t>
            </w:r>
          </w:p>
        </w:tc>
        <w:tc>
          <w:tcPr>
            <w:tcW w:w="4819" w:type="dxa"/>
            <w:shd w:val="clear" w:color="auto" w:fill="auto"/>
            <w:noWrap/>
          </w:tcPr>
          <w:p w14:paraId="3BE90F76" w14:textId="356BB572"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Gardening &amp; Horticultural Expenses</w:t>
            </w:r>
          </w:p>
        </w:tc>
        <w:tc>
          <w:tcPr>
            <w:tcW w:w="1560" w:type="dxa"/>
            <w:shd w:val="clear" w:color="auto" w:fill="auto"/>
            <w:noWrap/>
          </w:tcPr>
          <w:p w14:paraId="770301FF" w14:textId="526823BA"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9,71,686</w:t>
            </w:r>
          </w:p>
        </w:tc>
      </w:tr>
      <w:tr w:rsidR="00EA50F2" w:rsidRPr="00781608" w14:paraId="3A1F5F52" w14:textId="77777777" w:rsidTr="00EA50F2">
        <w:trPr>
          <w:trHeight w:val="315"/>
        </w:trPr>
        <w:tc>
          <w:tcPr>
            <w:tcW w:w="1276" w:type="dxa"/>
            <w:shd w:val="clear" w:color="auto" w:fill="auto"/>
            <w:noWrap/>
          </w:tcPr>
          <w:p w14:paraId="0E2A3BDD" w14:textId="3782379C"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76171</w:t>
            </w:r>
          </w:p>
        </w:tc>
        <w:tc>
          <w:tcPr>
            <w:tcW w:w="4819" w:type="dxa"/>
            <w:shd w:val="clear" w:color="auto" w:fill="auto"/>
            <w:noWrap/>
          </w:tcPr>
          <w:p w14:paraId="05473C6B" w14:textId="03083468"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Conference/Meeting Expenses</w:t>
            </w:r>
          </w:p>
        </w:tc>
        <w:tc>
          <w:tcPr>
            <w:tcW w:w="1560" w:type="dxa"/>
            <w:shd w:val="clear" w:color="auto" w:fill="auto"/>
            <w:noWrap/>
          </w:tcPr>
          <w:p w14:paraId="18E59204" w14:textId="111F7212"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8,82,173</w:t>
            </w:r>
          </w:p>
        </w:tc>
      </w:tr>
      <w:tr w:rsidR="00EA50F2" w:rsidRPr="00781608" w14:paraId="36316851" w14:textId="77777777" w:rsidTr="00EA50F2">
        <w:trPr>
          <w:trHeight w:val="315"/>
        </w:trPr>
        <w:tc>
          <w:tcPr>
            <w:tcW w:w="1276" w:type="dxa"/>
            <w:shd w:val="clear" w:color="auto" w:fill="auto"/>
            <w:noWrap/>
          </w:tcPr>
          <w:p w14:paraId="3B024255" w14:textId="73896E3F"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76172</w:t>
            </w:r>
          </w:p>
        </w:tc>
        <w:tc>
          <w:tcPr>
            <w:tcW w:w="4819" w:type="dxa"/>
            <w:shd w:val="clear" w:color="auto" w:fill="auto"/>
            <w:noWrap/>
          </w:tcPr>
          <w:p w14:paraId="60B77CDC" w14:textId="545AA890"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 xml:space="preserve">Bill Collection Charges Paid </w:t>
            </w:r>
            <w:proofErr w:type="gramStart"/>
            <w:r w:rsidRPr="00781608">
              <w:rPr>
                <w:rFonts w:asciiTheme="minorHAnsi" w:eastAsia="Times New Roman" w:hAnsiTheme="minorHAnsi" w:cstheme="minorHAnsi"/>
                <w:color w:val="000000"/>
                <w:lang w:val="en-US" w:eastAsia="en-US" w:bidi="gu-IN"/>
              </w:rPr>
              <w:t>To</w:t>
            </w:r>
            <w:proofErr w:type="gramEnd"/>
            <w:r w:rsidRPr="00781608">
              <w:rPr>
                <w:rFonts w:asciiTheme="minorHAnsi" w:eastAsia="Times New Roman" w:hAnsiTheme="minorHAnsi" w:cstheme="minorHAnsi"/>
                <w:color w:val="000000"/>
                <w:lang w:val="en-US" w:eastAsia="en-US" w:bidi="gu-IN"/>
              </w:rPr>
              <w:t xml:space="preserve"> Various Agencies</w:t>
            </w:r>
          </w:p>
        </w:tc>
        <w:tc>
          <w:tcPr>
            <w:tcW w:w="1560" w:type="dxa"/>
            <w:shd w:val="clear" w:color="auto" w:fill="auto"/>
            <w:noWrap/>
          </w:tcPr>
          <w:p w14:paraId="7A3DF6C9" w14:textId="6E87223D"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1,67,80,999</w:t>
            </w:r>
          </w:p>
        </w:tc>
      </w:tr>
      <w:tr w:rsidR="00EA50F2" w:rsidRPr="00781608" w14:paraId="010E948A" w14:textId="77777777" w:rsidTr="00EA50F2">
        <w:trPr>
          <w:trHeight w:val="315"/>
        </w:trPr>
        <w:tc>
          <w:tcPr>
            <w:tcW w:w="1276" w:type="dxa"/>
            <w:shd w:val="clear" w:color="auto" w:fill="auto"/>
            <w:noWrap/>
          </w:tcPr>
          <w:p w14:paraId="2A72C149" w14:textId="227B6C85"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76173</w:t>
            </w:r>
          </w:p>
        </w:tc>
        <w:tc>
          <w:tcPr>
            <w:tcW w:w="4819" w:type="dxa"/>
            <w:shd w:val="clear" w:color="auto" w:fill="auto"/>
            <w:noWrap/>
          </w:tcPr>
          <w:p w14:paraId="0F6DD3E1" w14:textId="627686FC"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Bill Collection Charges Paid To E-Gram Panchayat</w:t>
            </w:r>
          </w:p>
        </w:tc>
        <w:tc>
          <w:tcPr>
            <w:tcW w:w="1560" w:type="dxa"/>
            <w:shd w:val="clear" w:color="auto" w:fill="auto"/>
            <w:noWrap/>
          </w:tcPr>
          <w:p w14:paraId="036627B9" w14:textId="5B4E60AC"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1,35,45,800</w:t>
            </w:r>
          </w:p>
        </w:tc>
      </w:tr>
      <w:tr w:rsidR="00EA50F2" w:rsidRPr="00781608" w14:paraId="283FD5FF" w14:textId="77777777" w:rsidTr="00EA50F2">
        <w:trPr>
          <w:trHeight w:val="315"/>
        </w:trPr>
        <w:tc>
          <w:tcPr>
            <w:tcW w:w="1276" w:type="dxa"/>
            <w:shd w:val="clear" w:color="auto" w:fill="auto"/>
            <w:noWrap/>
          </w:tcPr>
          <w:p w14:paraId="7CFB7441" w14:textId="608A2A7D"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76176</w:t>
            </w:r>
          </w:p>
        </w:tc>
        <w:tc>
          <w:tcPr>
            <w:tcW w:w="4819" w:type="dxa"/>
            <w:shd w:val="clear" w:color="auto" w:fill="auto"/>
            <w:noWrap/>
          </w:tcPr>
          <w:p w14:paraId="55A7DA2C" w14:textId="4C1FCBBD"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Hospitality Expenses</w:t>
            </w:r>
          </w:p>
        </w:tc>
        <w:tc>
          <w:tcPr>
            <w:tcW w:w="1560" w:type="dxa"/>
            <w:shd w:val="clear" w:color="auto" w:fill="auto"/>
            <w:noWrap/>
          </w:tcPr>
          <w:p w14:paraId="2369ADDE" w14:textId="13096A5E"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1,20,886</w:t>
            </w:r>
          </w:p>
        </w:tc>
      </w:tr>
      <w:tr w:rsidR="00EA50F2" w:rsidRPr="00781608" w14:paraId="17B01D09" w14:textId="77777777" w:rsidTr="00EA50F2">
        <w:trPr>
          <w:trHeight w:val="315"/>
        </w:trPr>
        <w:tc>
          <w:tcPr>
            <w:tcW w:w="1276" w:type="dxa"/>
            <w:shd w:val="clear" w:color="auto" w:fill="auto"/>
            <w:noWrap/>
          </w:tcPr>
          <w:p w14:paraId="0C6898D0" w14:textId="6C3909D1"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76178</w:t>
            </w:r>
          </w:p>
        </w:tc>
        <w:tc>
          <w:tcPr>
            <w:tcW w:w="4819" w:type="dxa"/>
            <w:shd w:val="clear" w:color="auto" w:fill="auto"/>
            <w:noWrap/>
          </w:tcPr>
          <w:p w14:paraId="23BB0C8D" w14:textId="09F8692D"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 xml:space="preserve">Vehicle Expenses For </w:t>
            </w:r>
            <w:proofErr w:type="gramStart"/>
            <w:r w:rsidRPr="00781608">
              <w:rPr>
                <w:rFonts w:asciiTheme="minorHAnsi" w:eastAsia="Times New Roman" w:hAnsiTheme="minorHAnsi" w:cstheme="minorHAnsi"/>
                <w:color w:val="000000"/>
                <w:lang w:val="en-US" w:eastAsia="en-US" w:bidi="gu-IN"/>
              </w:rPr>
              <w:t>Motor ?</w:t>
            </w:r>
            <w:proofErr w:type="gramEnd"/>
            <w:r w:rsidRPr="00781608">
              <w:rPr>
                <w:rFonts w:asciiTheme="minorHAnsi" w:eastAsia="Times New Roman" w:hAnsiTheme="minorHAnsi" w:cstheme="minorHAnsi"/>
                <w:color w:val="000000"/>
                <w:lang w:val="en-US" w:eastAsia="en-US" w:bidi="gu-IN"/>
              </w:rPr>
              <w:t xml:space="preserve"> Car.</w:t>
            </w:r>
          </w:p>
        </w:tc>
        <w:tc>
          <w:tcPr>
            <w:tcW w:w="1560" w:type="dxa"/>
            <w:shd w:val="clear" w:color="auto" w:fill="auto"/>
            <w:noWrap/>
          </w:tcPr>
          <w:p w14:paraId="59DD3E69" w14:textId="66104BA4"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6,05,182</w:t>
            </w:r>
          </w:p>
        </w:tc>
      </w:tr>
      <w:tr w:rsidR="00EA50F2" w:rsidRPr="00781608" w14:paraId="07271BE5" w14:textId="77777777" w:rsidTr="00EA50F2">
        <w:trPr>
          <w:trHeight w:val="315"/>
        </w:trPr>
        <w:tc>
          <w:tcPr>
            <w:tcW w:w="1276" w:type="dxa"/>
            <w:shd w:val="clear" w:color="auto" w:fill="auto"/>
            <w:noWrap/>
          </w:tcPr>
          <w:p w14:paraId="4CA95299" w14:textId="25947077"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76183</w:t>
            </w:r>
          </w:p>
        </w:tc>
        <w:tc>
          <w:tcPr>
            <w:tcW w:w="4819" w:type="dxa"/>
            <w:shd w:val="clear" w:color="auto" w:fill="auto"/>
            <w:noWrap/>
          </w:tcPr>
          <w:p w14:paraId="16D29612" w14:textId="4C79FE6E"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Spares Device Maint</w:t>
            </w:r>
            <w:r w:rsidR="004F5386" w:rsidRPr="00781608">
              <w:rPr>
                <w:rFonts w:asciiTheme="minorHAnsi" w:eastAsia="Times New Roman" w:hAnsiTheme="minorHAnsi" w:cstheme="minorHAnsi"/>
                <w:color w:val="000000"/>
                <w:lang w:val="en-US" w:eastAsia="en-US" w:bidi="gu-IN"/>
              </w:rPr>
              <w:t>enance</w:t>
            </w:r>
          </w:p>
        </w:tc>
        <w:tc>
          <w:tcPr>
            <w:tcW w:w="1560" w:type="dxa"/>
            <w:shd w:val="clear" w:color="auto" w:fill="auto"/>
            <w:noWrap/>
          </w:tcPr>
          <w:p w14:paraId="27D3E5E4" w14:textId="43AE1692"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18,750</w:t>
            </w:r>
          </w:p>
        </w:tc>
      </w:tr>
      <w:tr w:rsidR="00EA50F2" w:rsidRPr="00781608" w14:paraId="3637FDEB" w14:textId="77777777" w:rsidTr="00EA50F2">
        <w:trPr>
          <w:trHeight w:val="315"/>
        </w:trPr>
        <w:tc>
          <w:tcPr>
            <w:tcW w:w="1276" w:type="dxa"/>
            <w:shd w:val="clear" w:color="auto" w:fill="auto"/>
            <w:noWrap/>
          </w:tcPr>
          <w:p w14:paraId="68AD9C5F" w14:textId="306F9744"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76184</w:t>
            </w:r>
          </w:p>
        </w:tc>
        <w:tc>
          <w:tcPr>
            <w:tcW w:w="4819" w:type="dxa"/>
            <w:shd w:val="clear" w:color="auto" w:fill="auto"/>
            <w:noWrap/>
          </w:tcPr>
          <w:p w14:paraId="6754C8F1" w14:textId="7D42B063"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 xml:space="preserve">Expenses For Use </w:t>
            </w:r>
            <w:proofErr w:type="gramStart"/>
            <w:r w:rsidRPr="00781608">
              <w:rPr>
                <w:rFonts w:asciiTheme="minorHAnsi" w:eastAsia="Times New Roman" w:hAnsiTheme="minorHAnsi" w:cstheme="minorHAnsi"/>
                <w:color w:val="000000"/>
                <w:lang w:val="en-US" w:eastAsia="en-US" w:bidi="gu-IN"/>
              </w:rPr>
              <w:t>Of</w:t>
            </w:r>
            <w:proofErr w:type="gramEnd"/>
            <w:r w:rsidRPr="00781608">
              <w:rPr>
                <w:rFonts w:asciiTheme="minorHAnsi" w:eastAsia="Times New Roman" w:hAnsiTheme="minorHAnsi" w:cstheme="minorHAnsi"/>
                <w:color w:val="000000"/>
                <w:lang w:val="en-US" w:eastAsia="en-US" w:bidi="gu-IN"/>
              </w:rPr>
              <w:t xml:space="preserve"> Sports Club Or Similar Facility</w:t>
            </w:r>
          </w:p>
        </w:tc>
        <w:tc>
          <w:tcPr>
            <w:tcW w:w="1560" w:type="dxa"/>
            <w:shd w:val="clear" w:color="auto" w:fill="auto"/>
            <w:noWrap/>
          </w:tcPr>
          <w:p w14:paraId="3AADBCFD" w14:textId="22DAAC3B"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9,184</w:t>
            </w:r>
          </w:p>
        </w:tc>
      </w:tr>
      <w:tr w:rsidR="00EA50F2" w:rsidRPr="00781608" w14:paraId="70D2F474" w14:textId="77777777" w:rsidTr="00EA50F2">
        <w:trPr>
          <w:trHeight w:val="315"/>
        </w:trPr>
        <w:tc>
          <w:tcPr>
            <w:tcW w:w="1276" w:type="dxa"/>
            <w:shd w:val="clear" w:color="auto" w:fill="auto"/>
            <w:noWrap/>
          </w:tcPr>
          <w:p w14:paraId="20E730A1" w14:textId="47E1022B"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76185</w:t>
            </w:r>
          </w:p>
        </w:tc>
        <w:tc>
          <w:tcPr>
            <w:tcW w:w="4819" w:type="dxa"/>
            <w:shd w:val="clear" w:color="auto" w:fill="auto"/>
            <w:noWrap/>
          </w:tcPr>
          <w:p w14:paraId="60415605" w14:textId="7C0F280E"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 xml:space="preserve">Expenses For Gift </w:t>
            </w:r>
            <w:proofErr w:type="gramStart"/>
            <w:r w:rsidRPr="00781608">
              <w:rPr>
                <w:rFonts w:asciiTheme="minorHAnsi" w:eastAsia="Times New Roman" w:hAnsiTheme="minorHAnsi" w:cstheme="minorHAnsi"/>
                <w:color w:val="000000"/>
                <w:lang w:val="en-US" w:eastAsia="en-US" w:bidi="gu-IN"/>
              </w:rPr>
              <w:t>To</w:t>
            </w:r>
            <w:proofErr w:type="gramEnd"/>
            <w:r w:rsidRPr="00781608">
              <w:rPr>
                <w:rFonts w:asciiTheme="minorHAnsi" w:eastAsia="Times New Roman" w:hAnsiTheme="minorHAnsi" w:cstheme="minorHAnsi"/>
                <w:color w:val="000000"/>
                <w:lang w:val="en-US" w:eastAsia="en-US" w:bidi="gu-IN"/>
              </w:rPr>
              <w:t xml:space="preserve"> Employees</w:t>
            </w:r>
          </w:p>
        </w:tc>
        <w:tc>
          <w:tcPr>
            <w:tcW w:w="1560" w:type="dxa"/>
            <w:shd w:val="clear" w:color="auto" w:fill="auto"/>
            <w:noWrap/>
          </w:tcPr>
          <w:p w14:paraId="458DED3C" w14:textId="548593EB"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2,59,610</w:t>
            </w:r>
          </w:p>
        </w:tc>
      </w:tr>
      <w:tr w:rsidR="00EA50F2" w:rsidRPr="00781608" w14:paraId="4ACC57A7" w14:textId="77777777" w:rsidTr="00EA50F2">
        <w:trPr>
          <w:trHeight w:val="315"/>
        </w:trPr>
        <w:tc>
          <w:tcPr>
            <w:tcW w:w="1276" w:type="dxa"/>
            <w:shd w:val="clear" w:color="auto" w:fill="auto"/>
            <w:noWrap/>
          </w:tcPr>
          <w:p w14:paraId="098DAA7C" w14:textId="49A5D12E"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76186</w:t>
            </w:r>
          </w:p>
        </w:tc>
        <w:tc>
          <w:tcPr>
            <w:tcW w:w="4819" w:type="dxa"/>
            <w:shd w:val="clear" w:color="auto" w:fill="auto"/>
            <w:noWrap/>
          </w:tcPr>
          <w:p w14:paraId="1AD2146A" w14:textId="11EE7A42"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Expenses For Lok Adalat.</w:t>
            </w:r>
          </w:p>
        </w:tc>
        <w:tc>
          <w:tcPr>
            <w:tcW w:w="1560" w:type="dxa"/>
            <w:shd w:val="clear" w:color="auto" w:fill="auto"/>
            <w:noWrap/>
          </w:tcPr>
          <w:p w14:paraId="0865F749" w14:textId="471FFF2E"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84,765</w:t>
            </w:r>
          </w:p>
        </w:tc>
      </w:tr>
      <w:tr w:rsidR="00EA50F2" w:rsidRPr="00781608" w14:paraId="06D91EFF" w14:textId="77777777" w:rsidTr="00EA50F2">
        <w:trPr>
          <w:trHeight w:val="315"/>
        </w:trPr>
        <w:tc>
          <w:tcPr>
            <w:tcW w:w="1276" w:type="dxa"/>
            <w:shd w:val="clear" w:color="auto" w:fill="auto"/>
            <w:noWrap/>
          </w:tcPr>
          <w:p w14:paraId="34241DA8" w14:textId="172C382D"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76187</w:t>
            </w:r>
          </w:p>
        </w:tc>
        <w:tc>
          <w:tcPr>
            <w:tcW w:w="4819" w:type="dxa"/>
            <w:shd w:val="clear" w:color="auto" w:fill="auto"/>
            <w:noWrap/>
          </w:tcPr>
          <w:p w14:paraId="68928C6C" w14:textId="16B4D84E"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Expenses For Celebration Of</w:t>
            </w:r>
            <w:r w:rsidR="004F5386" w:rsidRPr="00781608">
              <w:rPr>
                <w:rFonts w:asciiTheme="minorHAnsi" w:eastAsia="Times New Roman" w:hAnsiTheme="minorHAnsi" w:cstheme="minorHAnsi"/>
                <w:color w:val="000000"/>
                <w:lang w:val="en-US" w:eastAsia="en-US" w:bidi="gu-IN"/>
              </w:rPr>
              <w:t xml:space="preserve"> </w:t>
            </w:r>
            <w:r w:rsidRPr="00781608">
              <w:rPr>
                <w:rFonts w:asciiTheme="minorHAnsi" w:eastAsia="Times New Roman" w:hAnsiTheme="minorHAnsi" w:cstheme="minorHAnsi"/>
                <w:color w:val="000000"/>
                <w:lang w:val="en-US" w:eastAsia="en-US" w:bidi="gu-IN"/>
              </w:rPr>
              <w:t>events/Festival/</w:t>
            </w:r>
            <w:proofErr w:type="spellStart"/>
            <w:r w:rsidRPr="00781608">
              <w:rPr>
                <w:rFonts w:asciiTheme="minorHAnsi" w:eastAsia="Times New Roman" w:hAnsiTheme="minorHAnsi" w:cstheme="minorHAnsi"/>
                <w:color w:val="000000"/>
                <w:lang w:val="en-US" w:eastAsia="en-US" w:bidi="gu-IN"/>
              </w:rPr>
              <w:t>Etc</w:t>
            </w:r>
            <w:proofErr w:type="spellEnd"/>
          </w:p>
        </w:tc>
        <w:tc>
          <w:tcPr>
            <w:tcW w:w="1560" w:type="dxa"/>
            <w:shd w:val="clear" w:color="auto" w:fill="auto"/>
            <w:noWrap/>
          </w:tcPr>
          <w:p w14:paraId="5921F5A2" w14:textId="0105D8DA"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15,79,795</w:t>
            </w:r>
          </w:p>
        </w:tc>
      </w:tr>
      <w:tr w:rsidR="00EA50F2" w:rsidRPr="00781608" w14:paraId="0E713EB2" w14:textId="77777777" w:rsidTr="00EA50F2">
        <w:trPr>
          <w:trHeight w:val="315"/>
        </w:trPr>
        <w:tc>
          <w:tcPr>
            <w:tcW w:w="1276" w:type="dxa"/>
            <w:shd w:val="clear" w:color="auto" w:fill="auto"/>
            <w:noWrap/>
          </w:tcPr>
          <w:p w14:paraId="4C28BDEB" w14:textId="7A6E0FA2"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76190</w:t>
            </w:r>
          </w:p>
        </w:tc>
        <w:tc>
          <w:tcPr>
            <w:tcW w:w="4819" w:type="dxa"/>
            <w:shd w:val="clear" w:color="auto" w:fill="auto"/>
            <w:noWrap/>
          </w:tcPr>
          <w:p w14:paraId="520AB93C" w14:textId="11D7F5BA"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Miscellaneous Expenses</w:t>
            </w:r>
          </w:p>
        </w:tc>
        <w:tc>
          <w:tcPr>
            <w:tcW w:w="1560" w:type="dxa"/>
            <w:shd w:val="clear" w:color="auto" w:fill="auto"/>
            <w:noWrap/>
          </w:tcPr>
          <w:p w14:paraId="00711CF9" w14:textId="19422643"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1,21,24,386</w:t>
            </w:r>
          </w:p>
        </w:tc>
      </w:tr>
      <w:tr w:rsidR="00EA50F2" w:rsidRPr="00781608" w14:paraId="2AC1D80F" w14:textId="77777777" w:rsidTr="00EA50F2">
        <w:trPr>
          <w:trHeight w:val="315"/>
        </w:trPr>
        <w:tc>
          <w:tcPr>
            <w:tcW w:w="1276" w:type="dxa"/>
            <w:shd w:val="clear" w:color="auto" w:fill="auto"/>
            <w:noWrap/>
          </w:tcPr>
          <w:p w14:paraId="0B63D3BB" w14:textId="59E1C6EC"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76193</w:t>
            </w:r>
          </w:p>
        </w:tc>
        <w:tc>
          <w:tcPr>
            <w:tcW w:w="4819" w:type="dxa"/>
            <w:shd w:val="clear" w:color="auto" w:fill="auto"/>
            <w:noWrap/>
          </w:tcPr>
          <w:p w14:paraId="0FBE6CED" w14:textId="3F06CF76"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Expenditure For Covid-19 Pandemic.</w:t>
            </w:r>
          </w:p>
        </w:tc>
        <w:tc>
          <w:tcPr>
            <w:tcW w:w="1560" w:type="dxa"/>
            <w:shd w:val="clear" w:color="auto" w:fill="auto"/>
            <w:noWrap/>
          </w:tcPr>
          <w:p w14:paraId="17657839" w14:textId="3CC3FCD8"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26,83,559</w:t>
            </w:r>
          </w:p>
        </w:tc>
      </w:tr>
      <w:tr w:rsidR="00EA50F2" w:rsidRPr="00781608" w14:paraId="06094B50" w14:textId="77777777" w:rsidTr="00EA50F2">
        <w:trPr>
          <w:trHeight w:val="315"/>
        </w:trPr>
        <w:tc>
          <w:tcPr>
            <w:tcW w:w="1276" w:type="dxa"/>
            <w:shd w:val="clear" w:color="auto" w:fill="auto"/>
            <w:noWrap/>
          </w:tcPr>
          <w:p w14:paraId="70D61C4B" w14:textId="18FFBC30"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76220</w:t>
            </w:r>
          </w:p>
        </w:tc>
        <w:tc>
          <w:tcPr>
            <w:tcW w:w="4819" w:type="dxa"/>
            <w:shd w:val="clear" w:color="auto" w:fill="auto"/>
            <w:noWrap/>
          </w:tcPr>
          <w:p w14:paraId="610858D0" w14:textId="73CE4713"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Other Freight</w:t>
            </w:r>
          </w:p>
        </w:tc>
        <w:tc>
          <w:tcPr>
            <w:tcW w:w="1560" w:type="dxa"/>
            <w:shd w:val="clear" w:color="auto" w:fill="auto"/>
            <w:noWrap/>
          </w:tcPr>
          <w:p w14:paraId="18440F3D" w14:textId="66577DCD"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35,000</w:t>
            </w:r>
          </w:p>
        </w:tc>
      </w:tr>
      <w:tr w:rsidR="00EA50F2" w:rsidRPr="00781608" w14:paraId="46CB8E08" w14:textId="77777777" w:rsidTr="00EA50F2">
        <w:trPr>
          <w:trHeight w:val="315"/>
        </w:trPr>
        <w:tc>
          <w:tcPr>
            <w:tcW w:w="1276" w:type="dxa"/>
            <w:shd w:val="clear" w:color="auto" w:fill="auto"/>
            <w:noWrap/>
          </w:tcPr>
          <w:p w14:paraId="74796517" w14:textId="29AC5A0B"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76240</w:t>
            </w:r>
          </w:p>
        </w:tc>
        <w:tc>
          <w:tcPr>
            <w:tcW w:w="4819" w:type="dxa"/>
            <w:shd w:val="clear" w:color="auto" w:fill="auto"/>
            <w:noWrap/>
          </w:tcPr>
          <w:p w14:paraId="70281C10" w14:textId="32DAF1D7"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Exp Fr Trucks-</w:t>
            </w:r>
            <w:proofErr w:type="spellStart"/>
            <w:r w:rsidRPr="00781608">
              <w:rPr>
                <w:rFonts w:asciiTheme="minorHAnsi" w:eastAsia="Times New Roman" w:hAnsiTheme="minorHAnsi" w:cstheme="minorHAnsi"/>
                <w:color w:val="000000"/>
                <w:lang w:val="en-US" w:eastAsia="en-US" w:bidi="gu-IN"/>
              </w:rPr>
              <w:t>Delvr</w:t>
            </w:r>
            <w:proofErr w:type="spellEnd"/>
            <w:r w:rsidRPr="00781608">
              <w:rPr>
                <w:rFonts w:asciiTheme="minorHAnsi" w:eastAsia="Times New Roman" w:hAnsiTheme="minorHAnsi" w:cstheme="minorHAnsi"/>
                <w:color w:val="000000"/>
                <w:lang w:val="en-US" w:eastAsia="en-US" w:bidi="gu-IN"/>
              </w:rPr>
              <w:t xml:space="preserve"> Van Petrol</w:t>
            </w:r>
            <w:r w:rsidR="004F5386" w:rsidRPr="00781608">
              <w:rPr>
                <w:rFonts w:asciiTheme="minorHAnsi" w:eastAsia="Times New Roman" w:hAnsiTheme="minorHAnsi" w:cstheme="minorHAnsi"/>
                <w:color w:val="000000"/>
                <w:lang w:val="en-US" w:eastAsia="en-US" w:bidi="gu-IN"/>
              </w:rPr>
              <w:t xml:space="preserve"> </w:t>
            </w:r>
            <w:r w:rsidRPr="00781608">
              <w:rPr>
                <w:rFonts w:asciiTheme="minorHAnsi" w:eastAsia="Times New Roman" w:hAnsiTheme="minorHAnsi" w:cstheme="minorHAnsi"/>
                <w:color w:val="000000"/>
                <w:lang w:val="en-US" w:eastAsia="en-US" w:bidi="gu-IN"/>
              </w:rPr>
              <w:t>&amp;Oil</w:t>
            </w:r>
          </w:p>
        </w:tc>
        <w:tc>
          <w:tcPr>
            <w:tcW w:w="1560" w:type="dxa"/>
            <w:shd w:val="clear" w:color="auto" w:fill="auto"/>
            <w:noWrap/>
          </w:tcPr>
          <w:p w14:paraId="4DC983A1" w14:textId="46AA4D84"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2,42,73,730</w:t>
            </w:r>
          </w:p>
        </w:tc>
      </w:tr>
      <w:tr w:rsidR="00EA50F2" w:rsidRPr="00781608" w14:paraId="31CA4CAE" w14:textId="77777777" w:rsidTr="00EA50F2">
        <w:trPr>
          <w:trHeight w:val="315"/>
        </w:trPr>
        <w:tc>
          <w:tcPr>
            <w:tcW w:w="1276" w:type="dxa"/>
            <w:shd w:val="clear" w:color="auto" w:fill="auto"/>
            <w:noWrap/>
          </w:tcPr>
          <w:p w14:paraId="64D9BC0A" w14:textId="759E04E2"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76261</w:t>
            </w:r>
          </w:p>
        </w:tc>
        <w:tc>
          <w:tcPr>
            <w:tcW w:w="4819" w:type="dxa"/>
            <w:shd w:val="clear" w:color="auto" w:fill="auto"/>
            <w:noWrap/>
          </w:tcPr>
          <w:p w14:paraId="100FAFE4" w14:textId="41F217F2"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Commission For Scrap Sales</w:t>
            </w:r>
          </w:p>
        </w:tc>
        <w:tc>
          <w:tcPr>
            <w:tcW w:w="1560" w:type="dxa"/>
            <w:shd w:val="clear" w:color="auto" w:fill="auto"/>
            <w:noWrap/>
          </w:tcPr>
          <w:p w14:paraId="44DB72A7" w14:textId="34FDBF48"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24,40,511</w:t>
            </w:r>
          </w:p>
        </w:tc>
      </w:tr>
      <w:tr w:rsidR="00EA50F2" w:rsidRPr="00781608" w14:paraId="704CFED6" w14:textId="77777777" w:rsidTr="00EA50F2">
        <w:trPr>
          <w:trHeight w:val="315"/>
        </w:trPr>
        <w:tc>
          <w:tcPr>
            <w:tcW w:w="1276" w:type="dxa"/>
            <w:shd w:val="clear" w:color="auto" w:fill="auto"/>
            <w:noWrap/>
          </w:tcPr>
          <w:p w14:paraId="2BEDD688" w14:textId="663961D1"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76270</w:t>
            </w:r>
          </w:p>
        </w:tc>
        <w:tc>
          <w:tcPr>
            <w:tcW w:w="4819" w:type="dxa"/>
            <w:shd w:val="clear" w:color="auto" w:fill="auto"/>
            <w:noWrap/>
          </w:tcPr>
          <w:p w14:paraId="5E4BFBA4" w14:textId="73EAD86D"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Incidental Stores Expenses</w:t>
            </w:r>
          </w:p>
        </w:tc>
        <w:tc>
          <w:tcPr>
            <w:tcW w:w="1560" w:type="dxa"/>
            <w:shd w:val="clear" w:color="auto" w:fill="auto"/>
            <w:noWrap/>
          </w:tcPr>
          <w:p w14:paraId="2401B36C" w14:textId="0D3D4209"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9,93,62,617</w:t>
            </w:r>
          </w:p>
        </w:tc>
      </w:tr>
      <w:tr w:rsidR="00EA50F2" w:rsidRPr="00781608" w14:paraId="7CA2FFA6" w14:textId="77777777" w:rsidTr="00EA50F2">
        <w:trPr>
          <w:trHeight w:val="315"/>
        </w:trPr>
        <w:tc>
          <w:tcPr>
            <w:tcW w:w="1276" w:type="dxa"/>
            <w:shd w:val="clear" w:color="auto" w:fill="auto"/>
            <w:noWrap/>
          </w:tcPr>
          <w:p w14:paraId="30149458" w14:textId="647F40CB"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lastRenderedPageBreak/>
              <w:t>76281</w:t>
            </w:r>
          </w:p>
        </w:tc>
        <w:tc>
          <w:tcPr>
            <w:tcW w:w="4819" w:type="dxa"/>
            <w:shd w:val="clear" w:color="auto" w:fill="auto"/>
            <w:noWrap/>
          </w:tcPr>
          <w:p w14:paraId="208BAE1E" w14:textId="6B80F302"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Fabrication Ch</w:t>
            </w:r>
            <w:r w:rsidR="004F5386" w:rsidRPr="00781608">
              <w:rPr>
                <w:rFonts w:asciiTheme="minorHAnsi" w:eastAsia="Times New Roman" w:hAnsiTheme="minorHAnsi" w:cstheme="minorHAnsi"/>
                <w:color w:val="000000"/>
                <w:lang w:val="en-US" w:eastAsia="en-US" w:bidi="gu-IN"/>
              </w:rPr>
              <w:t>a</w:t>
            </w:r>
            <w:r w:rsidRPr="00781608">
              <w:rPr>
                <w:rFonts w:asciiTheme="minorHAnsi" w:eastAsia="Times New Roman" w:hAnsiTheme="minorHAnsi" w:cstheme="minorHAnsi"/>
                <w:color w:val="000000"/>
                <w:lang w:val="en-US" w:eastAsia="en-US" w:bidi="gu-IN"/>
              </w:rPr>
              <w:t>rg</w:t>
            </w:r>
            <w:r w:rsidR="004F5386" w:rsidRPr="00781608">
              <w:rPr>
                <w:rFonts w:asciiTheme="minorHAnsi" w:eastAsia="Times New Roman" w:hAnsiTheme="minorHAnsi" w:cstheme="minorHAnsi"/>
                <w:color w:val="000000"/>
                <w:lang w:val="en-US" w:eastAsia="en-US" w:bidi="gu-IN"/>
              </w:rPr>
              <w:t>e</w:t>
            </w:r>
            <w:r w:rsidRPr="00781608">
              <w:rPr>
                <w:rFonts w:asciiTheme="minorHAnsi" w:eastAsia="Times New Roman" w:hAnsiTheme="minorHAnsi" w:cstheme="minorHAnsi"/>
                <w:color w:val="000000"/>
                <w:lang w:val="en-US" w:eastAsia="en-US" w:bidi="gu-IN"/>
              </w:rPr>
              <w:t>s</w:t>
            </w:r>
          </w:p>
        </w:tc>
        <w:tc>
          <w:tcPr>
            <w:tcW w:w="1560" w:type="dxa"/>
            <w:shd w:val="clear" w:color="auto" w:fill="auto"/>
            <w:noWrap/>
          </w:tcPr>
          <w:p w14:paraId="29A36694" w14:textId="77447B31"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2,83,55,459</w:t>
            </w:r>
          </w:p>
        </w:tc>
      </w:tr>
      <w:tr w:rsidR="00EA50F2" w:rsidRPr="00781608" w14:paraId="55378A73" w14:textId="77777777" w:rsidTr="00EA50F2">
        <w:trPr>
          <w:trHeight w:val="315"/>
        </w:trPr>
        <w:tc>
          <w:tcPr>
            <w:tcW w:w="1276" w:type="dxa"/>
            <w:shd w:val="clear" w:color="auto" w:fill="auto"/>
            <w:noWrap/>
          </w:tcPr>
          <w:p w14:paraId="603A3A04" w14:textId="704DD4F0"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76282</w:t>
            </w:r>
          </w:p>
        </w:tc>
        <w:tc>
          <w:tcPr>
            <w:tcW w:w="4819" w:type="dxa"/>
            <w:shd w:val="clear" w:color="auto" w:fill="auto"/>
            <w:noWrap/>
          </w:tcPr>
          <w:p w14:paraId="34D08631" w14:textId="522182CC"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Fab.</w:t>
            </w:r>
            <w:r w:rsidR="004F5386" w:rsidRPr="00781608">
              <w:rPr>
                <w:rFonts w:asciiTheme="minorHAnsi" w:eastAsia="Times New Roman" w:hAnsiTheme="minorHAnsi" w:cstheme="minorHAnsi"/>
                <w:color w:val="000000"/>
                <w:lang w:val="en-US" w:eastAsia="en-US" w:bidi="gu-IN"/>
              </w:rPr>
              <w:t xml:space="preserve"> </w:t>
            </w:r>
            <w:r w:rsidRPr="00781608">
              <w:rPr>
                <w:rFonts w:asciiTheme="minorHAnsi" w:eastAsia="Times New Roman" w:hAnsiTheme="minorHAnsi" w:cstheme="minorHAnsi"/>
                <w:color w:val="000000"/>
                <w:lang w:val="en-US" w:eastAsia="en-US" w:bidi="gu-IN"/>
              </w:rPr>
              <w:t>Ch</w:t>
            </w:r>
            <w:r w:rsidR="004F5386" w:rsidRPr="00781608">
              <w:rPr>
                <w:rFonts w:asciiTheme="minorHAnsi" w:eastAsia="Times New Roman" w:hAnsiTheme="minorHAnsi" w:cstheme="minorHAnsi"/>
                <w:color w:val="000000"/>
                <w:lang w:val="en-US" w:eastAsia="en-US" w:bidi="gu-IN"/>
              </w:rPr>
              <w:t>ar</w:t>
            </w:r>
            <w:r w:rsidRPr="00781608">
              <w:rPr>
                <w:rFonts w:asciiTheme="minorHAnsi" w:eastAsia="Times New Roman" w:hAnsiTheme="minorHAnsi" w:cstheme="minorHAnsi"/>
                <w:color w:val="000000"/>
                <w:lang w:val="en-US" w:eastAsia="en-US" w:bidi="gu-IN"/>
              </w:rPr>
              <w:t>g</w:t>
            </w:r>
            <w:r w:rsidR="004F5386" w:rsidRPr="00781608">
              <w:rPr>
                <w:rFonts w:asciiTheme="minorHAnsi" w:eastAsia="Times New Roman" w:hAnsiTheme="minorHAnsi" w:cstheme="minorHAnsi"/>
                <w:color w:val="000000"/>
                <w:lang w:val="en-US" w:eastAsia="en-US" w:bidi="gu-IN"/>
              </w:rPr>
              <w:t>e</w:t>
            </w:r>
            <w:r w:rsidRPr="00781608">
              <w:rPr>
                <w:rFonts w:asciiTheme="minorHAnsi" w:eastAsia="Times New Roman" w:hAnsiTheme="minorHAnsi" w:cstheme="minorHAnsi"/>
                <w:color w:val="000000"/>
                <w:lang w:val="en-US" w:eastAsia="en-US" w:bidi="gu-IN"/>
              </w:rPr>
              <w:t xml:space="preserve">s Absorbed </w:t>
            </w:r>
            <w:proofErr w:type="gramStart"/>
            <w:r w:rsidRPr="00781608">
              <w:rPr>
                <w:rFonts w:asciiTheme="minorHAnsi" w:eastAsia="Times New Roman" w:hAnsiTheme="minorHAnsi" w:cstheme="minorHAnsi"/>
                <w:color w:val="000000"/>
                <w:lang w:val="en-US" w:eastAsia="en-US" w:bidi="gu-IN"/>
              </w:rPr>
              <w:t>In</w:t>
            </w:r>
            <w:proofErr w:type="gramEnd"/>
            <w:r w:rsidRPr="00781608">
              <w:rPr>
                <w:rFonts w:asciiTheme="minorHAnsi" w:eastAsia="Times New Roman" w:hAnsiTheme="minorHAnsi" w:cstheme="minorHAnsi"/>
                <w:color w:val="000000"/>
                <w:lang w:val="en-US" w:eastAsia="en-US" w:bidi="gu-IN"/>
              </w:rPr>
              <w:t xml:space="preserve"> Cost Of Fab-Cr</w:t>
            </w:r>
          </w:p>
        </w:tc>
        <w:tc>
          <w:tcPr>
            <w:tcW w:w="1560" w:type="dxa"/>
            <w:shd w:val="clear" w:color="auto" w:fill="auto"/>
            <w:noWrap/>
          </w:tcPr>
          <w:p w14:paraId="3EB8DE5E" w14:textId="6D491D09"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-2,83,55,459</w:t>
            </w:r>
          </w:p>
        </w:tc>
      </w:tr>
      <w:tr w:rsidR="00EA50F2" w:rsidRPr="00781608" w14:paraId="4920F1E4" w14:textId="77777777" w:rsidTr="00EA50F2">
        <w:trPr>
          <w:trHeight w:val="315"/>
        </w:trPr>
        <w:tc>
          <w:tcPr>
            <w:tcW w:w="1276" w:type="dxa"/>
            <w:shd w:val="clear" w:color="auto" w:fill="auto"/>
            <w:noWrap/>
          </w:tcPr>
          <w:p w14:paraId="096CFE6D" w14:textId="7C7BAC5A"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76501</w:t>
            </w:r>
          </w:p>
        </w:tc>
        <w:tc>
          <w:tcPr>
            <w:tcW w:w="4819" w:type="dxa"/>
            <w:shd w:val="clear" w:color="auto" w:fill="auto"/>
            <w:noWrap/>
          </w:tcPr>
          <w:p w14:paraId="35695CB6" w14:textId="4984F400"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Rev.</w:t>
            </w:r>
            <w:r w:rsidR="004F5386" w:rsidRPr="00781608">
              <w:rPr>
                <w:rFonts w:asciiTheme="minorHAnsi" w:eastAsia="Times New Roman" w:hAnsiTheme="minorHAnsi" w:cstheme="minorHAnsi"/>
                <w:color w:val="000000"/>
                <w:lang w:val="en-US" w:eastAsia="en-US" w:bidi="gu-IN"/>
              </w:rPr>
              <w:t xml:space="preserve"> </w:t>
            </w:r>
            <w:r w:rsidRPr="00781608">
              <w:rPr>
                <w:rFonts w:asciiTheme="minorHAnsi" w:eastAsia="Times New Roman" w:hAnsiTheme="minorHAnsi" w:cstheme="minorHAnsi"/>
                <w:color w:val="000000"/>
                <w:lang w:val="en-US" w:eastAsia="en-US" w:bidi="gu-IN"/>
              </w:rPr>
              <w:t xml:space="preserve">Stamps </w:t>
            </w:r>
            <w:proofErr w:type="gramStart"/>
            <w:r w:rsidRPr="00781608">
              <w:rPr>
                <w:rFonts w:asciiTheme="minorHAnsi" w:eastAsia="Times New Roman" w:hAnsiTheme="minorHAnsi" w:cstheme="minorHAnsi"/>
                <w:color w:val="000000"/>
                <w:lang w:val="en-US" w:eastAsia="en-US" w:bidi="gu-IN"/>
              </w:rPr>
              <w:t>On</w:t>
            </w:r>
            <w:proofErr w:type="gramEnd"/>
            <w:r w:rsidRPr="00781608">
              <w:rPr>
                <w:rFonts w:asciiTheme="minorHAnsi" w:eastAsia="Times New Roman" w:hAnsiTheme="minorHAnsi" w:cstheme="minorHAnsi"/>
                <w:color w:val="000000"/>
                <w:lang w:val="en-US" w:eastAsia="en-US" w:bidi="gu-IN"/>
              </w:rPr>
              <w:t xml:space="preserve"> Rec</w:t>
            </w:r>
            <w:r w:rsidR="004F5386" w:rsidRPr="00781608">
              <w:rPr>
                <w:rFonts w:asciiTheme="minorHAnsi" w:eastAsia="Times New Roman" w:hAnsiTheme="minorHAnsi" w:cstheme="minorHAnsi"/>
                <w:color w:val="000000"/>
                <w:lang w:val="en-US" w:eastAsia="en-US" w:bidi="gu-IN"/>
              </w:rPr>
              <w:t>ei</w:t>
            </w:r>
            <w:r w:rsidRPr="00781608">
              <w:rPr>
                <w:rFonts w:asciiTheme="minorHAnsi" w:eastAsia="Times New Roman" w:hAnsiTheme="minorHAnsi" w:cstheme="minorHAnsi"/>
                <w:color w:val="000000"/>
                <w:lang w:val="en-US" w:eastAsia="en-US" w:bidi="gu-IN"/>
              </w:rPr>
              <w:t>pts Issued By Board</w:t>
            </w:r>
          </w:p>
        </w:tc>
        <w:tc>
          <w:tcPr>
            <w:tcW w:w="1560" w:type="dxa"/>
            <w:shd w:val="clear" w:color="auto" w:fill="auto"/>
            <w:noWrap/>
          </w:tcPr>
          <w:p w14:paraId="2616860A" w14:textId="20D39336"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9,40,146</w:t>
            </w:r>
          </w:p>
        </w:tc>
      </w:tr>
      <w:tr w:rsidR="00EA50F2" w:rsidRPr="00781608" w14:paraId="36D1977B" w14:textId="77777777" w:rsidTr="00EA50F2">
        <w:trPr>
          <w:trHeight w:val="315"/>
        </w:trPr>
        <w:tc>
          <w:tcPr>
            <w:tcW w:w="1276" w:type="dxa"/>
            <w:shd w:val="clear" w:color="auto" w:fill="auto"/>
            <w:noWrap/>
          </w:tcPr>
          <w:p w14:paraId="2CFACD37" w14:textId="2F14EC81"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76505</w:t>
            </w:r>
          </w:p>
        </w:tc>
        <w:tc>
          <w:tcPr>
            <w:tcW w:w="4819" w:type="dxa"/>
            <w:shd w:val="clear" w:color="auto" w:fill="auto"/>
            <w:noWrap/>
          </w:tcPr>
          <w:p w14:paraId="2C9F76F9" w14:textId="39487886"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 xml:space="preserve">Expenditure On Training </w:t>
            </w:r>
            <w:proofErr w:type="gramStart"/>
            <w:r w:rsidRPr="00781608">
              <w:rPr>
                <w:rFonts w:asciiTheme="minorHAnsi" w:eastAsia="Times New Roman" w:hAnsiTheme="minorHAnsi" w:cstheme="minorHAnsi"/>
                <w:color w:val="000000"/>
                <w:lang w:val="en-US" w:eastAsia="en-US" w:bidi="gu-IN"/>
              </w:rPr>
              <w:t>To</w:t>
            </w:r>
            <w:proofErr w:type="gramEnd"/>
            <w:r w:rsidRPr="00781608">
              <w:rPr>
                <w:rFonts w:asciiTheme="minorHAnsi" w:eastAsia="Times New Roman" w:hAnsiTheme="minorHAnsi" w:cstheme="minorHAnsi"/>
                <w:color w:val="000000"/>
                <w:lang w:val="en-US" w:eastAsia="en-US" w:bidi="gu-IN"/>
              </w:rPr>
              <w:t xml:space="preserve"> Staff.</w:t>
            </w:r>
          </w:p>
        </w:tc>
        <w:tc>
          <w:tcPr>
            <w:tcW w:w="1560" w:type="dxa"/>
            <w:shd w:val="clear" w:color="auto" w:fill="auto"/>
            <w:noWrap/>
          </w:tcPr>
          <w:p w14:paraId="7CA3E693" w14:textId="61265FFE"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17,56,280</w:t>
            </w:r>
          </w:p>
        </w:tc>
      </w:tr>
      <w:tr w:rsidR="00EA50F2" w:rsidRPr="00781608" w14:paraId="7B542B32" w14:textId="77777777" w:rsidTr="00EA50F2">
        <w:trPr>
          <w:trHeight w:val="315"/>
        </w:trPr>
        <w:tc>
          <w:tcPr>
            <w:tcW w:w="1276" w:type="dxa"/>
            <w:shd w:val="clear" w:color="auto" w:fill="auto"/>
            <w:noWrap/>
          </w:tcPr>
          <w:p w14:paraId="6335D777" w14:textId="08C6353E" w:rsidR="00EA50F2" w:rsidRPr="00781608" w:rsidRDefault="00EA50F2" w:rsidP="00EA50F2">
            <w:pP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color w:val="000000"/>
                <w:lang w:val="en-US" w:eastAsia="en-US" w:bidi="gu-IN"/>
              </w:rPr>
              <w:t>79215</w:t>
            </w:r>
          </w:p>
        </w:tc>
        <w:tc>
          <w:tcPr>
            <w:tcW w:w="4819" w:type="dxa"/>
            <w:shd w:val="clear" w:color="auto" w:fill="auto"/>
            <w:noWrap/>
          </w:tcPr>
          <w:p w14:paraId="2397D22A" w14:textId="0623C82C"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Miscellaneous Expenses Under Sky Scheme</w:t>
            </w:r>
          </w:p>
        </w:tc>
        <w:tc>
          <w:tcPr>
            <w:tcW w:w="1560" w:type="dxa"/>
            <w:shd w:val="clear" w:color="auto" w:fill="auto"/>
            <w:noWrap/>
          </w:tcPr>
          <w:p w14:paraId="1266583F" w14:textId="5A9CACB3"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8,403</w:t>
            </w:r>
          </w:p>
        </w:tc>
      </w:tr>
      <w:tr w:rsidR="00EA50F2" w:rsidRPr="00781608" w14:paraId="0E36F2D0" w14:textId="77777777" w:rsidTr="00EA50F2">
        <w:trPr>
          <w:trHeight w:val="315"/>
        </w:trPr>
        <w:tc>
          <w:tcPr>
            <w:tcW w:w="1276" w:type="dxa"/>
            <w:shd w:val="clear" w:color="auto" w:fill="auto"/>
            <w:noWrap/>
          </w:tcPr>
          <w:p w14:paraId="39EF74AF" w14:textId="1D736B4F" w:rsidR="00EA50F2" w:rsidRPr="00781608" w:rsidRDefault="00EA50F2" w:rsidP="00EA50F2">
            <w:pPr>
              <w:rPr>
                <w:rFonts w:asciiTheme="minorHAnsi" w:eastAsia="Times New Roman" w:hAnsiTheme="minorHAnsi" w:cstheme="minorHAnsi"/>
                <w:b/>
                <w:bCs/>
                <w:color w:val="000000"/>
                <w:lang w:val="en-US" w:eastAsia="en-US" w:bidi="gu-IN"/>
              </w:rPr>
            </w:pPr>
          </w:p>
        </w:tc>
        <w:tc>
          <w:tcPr>
            <w:tcW w:w="4819" w:type="dxa"/>
            <w:shd w:val="clear" w:color="auto" w:fill="auto"/>
            <w:noWrap/>
          </w:tcPr>
          <w:p w14:paraId="325C4294" w14:textId="20C78C4F" w:rsidR="00EA50F2" w:rsidRPr="00781608" w:rsidRDefault="00EA50F2" w:rsidP="00EA50F2">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b/>
                <w:bCs/>
                <w:color w:val="000000"/>
                <w:lang w:val="en-US" w:eastAsia="en-US" w:bidi="gu-IN"/>
              </w:rPr>
              <w:t>Total</w:t>
            </w:r>
          </w:p>
        </w:tc>
        <w:tc>
          <w:tcPr>
            <w:tcW w:w="1560" w:type="dxa"/>
            <w:shd w:val="clear" w:color="auto" w:fill="auto"/>
            <w:noWrap/>
          </w:tcPr>
          <w:p w14:paraId="1872FBEA" w14:textId="7802F2DA" w:rsidR="00EA50F2" w:rsidRPr="00781608" w:rsidRDefault="00EA50F2" w:rsidP="00EA50F2">
            <w:pPr>
              <w:jc w:val="right"/>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b/>
                <w:bCs/>
                <w:color w:val="000000"/>
                <w:lang w:val="en-US" w:eastAsia="en-US" w:bidi="gu-IN"/>
              </w:rPr>
              <w:t>43,34,04,687</w:t>
            </w:r>
          </w:p>
        </w:tc>
      </w:tr>
    </w:tbl>
    <w:p w14:paraId="49968603" w14:textId="77777777" w:rsidR="008C6F55" w:rsidRPr="00781608" w:rsidRDefault="008C6F55" w:rsidP="008C6F55">
      <w:pPr>
        <w:pStyle w:val="ydp360db5b4yiv6248630976msolistparagraph"/>
        <w:spacing w:beforeAutospacing="0" w:after="200" w:afterAutospacing="0" w:line="276" w:lineRule="auto"/>
        <w:ind w:left="720"/>
        <w:jc w:val="both"/>
        <w:rPr>
          <w:rFonts w:asciiTheme="minorHAnsi" w:hAnsiTheme="minorHAnsi" w:cstheme="minorHAnsi"/>
          <w:b/>
          <w:bCs/>
          <w:sz w:val="24"/>
          <w:szCs w:val="24"/>
        </w:rPr>
      </w:pPr>
    </w:p>
    <w:p w14:paraId="5214DE09" w14:textId="77777777" w:rsidR="006F68BB" w:rsidRPr="00781608" w:rsidRDefault="006F68BB" w:rsidP="00E85684">
      <w:pPr>
        <w:pStyle w:val="ListParagraph"/>
        <w:numPr>
          <w:ilvl w:val="0"/>
          <w:numId w:val="23"/>
        </w:numPr>
        <w:spacing w:line="276" w:lineRule="auto"/>
        <w:jc w:val="both"/>
        <w:rPr>
          <w:rFonts w:asciiTheme="minorHAnsi" w:hAnsiTheme="minorHAnsi" w:cstheme="minorHAnsi"/>
          <w:sz w:val="24"/>
          <w:szCs w:val="24"/>
        </w:rPr>
      </w:pPr>
      <w:r w:rsidRPr="00781608">
        <w:rPr>
          <w:rFonts w:asciiTheme="minorHAnsi" w:hAnsiTheme="minorHAnsi" w:cstheme="minorHAnsi"/>
          <w:sz w:val="24"/>
          <w:szCs w:val="24"/>
        </w:rPr>
        <w:t xml:space="preserve">As regards R&amp;M expenses, UGVCL should provide details and justification for expenses booked under ‘Others’. </w:t>
      </w:r>
    </w:p>
    <w:p w14:paraId="0596DD89" w14:textId="77777777" w:rsidR="00E0692B" w:rsidRPr="00781608" w:rsidRDefault="00E0692B" w:rsidP="00E0692B">
      <w:pPr>
        <w:pStyle w:val="ListParagraph"/>
        <w:spacing w:line="276" w:lineRule="auto"/>
        <w:jc w:val="both"/>
        <w:rPr>
          <w:rFonts w:asciiTheme="minorHAnsi" w:hAnsiTheme="minorHAnsi" w:cstheme="minorHAnsi"/>
          <w:sz w:val="24"/>
          <w:szCs w:val="24"/>
        </w:rPr>
      </w:pPr>
    </w:p>
    <w:p w14:paraId="07BD7138" w14:textId="77777777" w:rsidR="00E0692B" w:rsidRPr="00781608" w:rsidRDefault="00E0692B" w:rsidP="00E0692B">
      <w:pPr>
        <w:pStyle w:val="ListParagraph"/>
        <w:spacing w:line="276" w:lineRule="auto"/>
        <w:jc w:val="both"/>
        <w:rPr>
          <w:rFonts w:asciiTheme="minorHAnsi" w:hAnsiTheme="minorHAnsi" w:cstheme="minorHAnsi"/>
          <w:b/>
          <w:bCs/>
          <w:sz w:val="24"/>
          <w:szCs w:val="24"/>
        </w:rPr>
      </w:pPr>
      <w:r w:rsidRPr="00781608">
        <w:rPr>
          <w:rFonts w:asciiTheme="minorHAnsi" w:hAnsiTheme="minorHAnsi" w:cstheme="minorHAnsi"/>
          <w:b/>
          <w:bCs/>
          <w:sz w:val="24"/>
          <w:szCs w:val="24"/>
        </w:rPr>
        <w:t>Compliance:</w:t>
      </w:r>
    </w:p>
    <w:p w14:paraId="09AD1769" w14:textId="56EF1533" w:rsidR="00873C71" w:rsidRPr="00781608" w:rsidRDefault="00873C71" w:rsidP="00E0692B">
      <w:pPr>
        <w:pStyle w:val="ListParagraph"/>
        <w:spacing w:line="276" w:lineRule="auto"/>
        <w:jc w:val="both"/>
        <w:rPr>
          <w:rFonts w:asciiTheme="minorHAnsi" w:hAnsiTheme="minorHAnsi" w:cstheme="minorHAnsi"/>
          <w:b/>
          <w:bCs/>
          <w:sz w:val="24"/>
          <w:szCs w:val="24"/>
        </w:rPr>
      </w:pPr>
      <w:r w:rsidRPr="00781608">
        <w:rPr>
          <w:rFonts w:asciiTheme="minorHAnsi" w:hAnsiTheme="minorHAnsi" w:cstheme="minorHAnsi"/>
          <w:b/>
          <w:bCs/>
          <w:sz w:val="24"/>
          <w:szCs w:val="24"/>
        </w:rPr>
        <w:t>Repairs-Others</w:t>
      </w: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453"/>
        <w:gridCol w:w="1926"/>
      </w:tblGrid>
      <w:tr w:rsidR="00EA50F2" w:rsidRPr="00781608" w14:paraId="2E312CE8" w14:textId="77777777" w:rsidTr="00D944B7">
        <w:trPr>
          <w:trHeight w:val="315"/>
        </w:trPr>
        <w:tc>
          <w:tcPr>
            <w:tcW w:w="1276" w:type="dxa"/>
            <w:shd w:val="clear" w:color="auto" w:fill="DEEAF6" w:themeFill="accent5" w:themeFillTint="33"/>
            <w:noWrap/>
            <w:hideMark/>
          </w:tcPr>
          <w:p w14:paraId="7A9EE93C" w14:textId="77777777" w:rsidR="00EA50F2" w:rsidRPr="00781608" w:rsidRDefault="00EA50F2" w:rsidP="00D944B7">
            <w:pPr>
              <w:jc w:val="cente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b/>
                <w:bCs/>
                <w:color w:val="000000"/>
                <w:lang w:val="en-US" w:eastAsia="en-US" w:bidi="gu-IN"/>
              </w:rPr>
              <w:t>A/c Head</w:t>
            </w:r>
          </w:p>
        </w:tc>
        <w:tc>
          <w:tcPr>
            <w:tcW w:w="4453" w:type="dxa"/>
            <w:shd w:val="clear" w:color="auto" w:fill="DEEAF6" w:themeFill="accent5" w:themeFillTint="33"/>
            <w:noWrap/>
            <w:hideMark/>
          </w:tcPr>
          <w:p w14:paraId="3D66930A" w14:textId="77777777" w:rsidR="00EA50F2" w:rsidRPr="00781608" w:rsidRDefault="00EA50F2" w:rsidP="00D944B7">
            <w:pPr>
              <w:jc w:val="cente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b/>
                <w:bCs/>
                <w:color w:val="000000"/>
                <w:lang w:val="en-US" w:eastAsia="en-US" w:bidi="gu-IN"/>
              </w:rPr>
              <w:t>Description</w:t>
            </w:r>
          </w:p>
        </w:tc>
        <w:tc>
          <w:tcPr>
            <w:tcW w:w="1926" w:type="dxa"/>
            <w:shd w:val="clear" w:color="auto" w:fill="DEEAF6" w:themeFill="accent5" w:themeFillTint="33"/>
            <w:noWrap/>
            <w:hideMark/>
          </w:tcPr>
          <w:p w14:paraId="2323C45F" w14:textId="77777777" w:rsidR="00EA50F2" w:rsidRPr="00781608" w:rsidRDefault="00EA50F2" w:rsidP="00D944B7">
            <w:pPr>
              <w:jc w:val="cente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b/>
                <w:bCs/>
                <w:color w:val="000000"/>
                <w:lang w:val="en-US" w:eastAsia="en-US" w:bidi="gu-IN"/>
              </w:rPr>
              <w:t>CB 31-03-21</w:t>
            </w:r>
          </w:p>
        </w:tc>
      </w:tr>
      <w:tr w:rsidR="004F5386" w:rsidRPr="00781608" w14:paraId="66D1983B" w14:textId="77777777" w:rsidTr="004F5386">
        <w:trPr>
          <w:trHeight w:val="99"/>
        </w:trPr>
        <w:tc>
          <w:tcPr>
            <w:tcW w:w="1276" w:type="dxa"/>
            <w:shd w:val="clear" w:color="auto" w:fill="auto"/>
            <w:noWrap/>
            <w:hideMark/>
          </w:tcPr>
          <w:p w14:paraId="2F948332" w14:textId="399A3100" w:rsidR="004F5386" w:rsidRPr="00781608" w:rsidRDefault="004F5386" w:rsidP="004F5386">
            <w:pPr>
              <w:rPr>
                <w:rFonts w:asciiTheme="minorHAnsi" w:eastAsia="Times New Roman" w:hAnsiTheme="minorHAnsi" w:cstheme="minorHAnsi"/>
                <w:color w:val="000000"/>
                <w:lang w:val="en-US" w:eastAsia="en-US" w:bidi="gu-IN"/>
              </w:rPr>
            </w:pPr>
            <w:r w:rsidRPr="00781608">
              <w:rPr>
                <w:rFonts w:asciiTheme="minorHAnsi" w:hAnsiTheme="minorHAnsi" w:cstheme="minorHAnsi"/>
              </w:rPr>
              <w:t>74400</w:t>
            </w:r>
          </w:p>
        </w:tc>
        <w:tc>
          <w:tcPr>
            <w:tcW w:w="4453" w:type="dxa"/>
            <w:shd w:val="clear" w:color="auto" w:fill="auto"/>
            <w:noWrap/>
            <w:hideMark/>
          </w:tcPr>
          <w:p w14:paraId="6F79D081" w14:textId="2CDD1538" w:rsidR="004F5386" w:rsidRPr="00781608" w:rsidRDefault="004F5386" w:rsidP="004F5386">
            <w:pPr>
              <w:rPr>
                <w:rFonts w:asciiTheme="minorHAnsi" w:eastAsia="Times New Roman" w:hAnsiTheme="minorHAnsi" w:cstheme="minorHAnsi"/>
                <w:color w:val="000000"/>
                <w:lang w:val="en-US" w:eastAsia="en-US" w:bidi="gu-IN"/>
              </w:rPr>
            </w:pPr>
            <w:r w:rsidRPr="00781608">
              <w:rPr>
                <w:rFonts w:asciiTheme="minorHAnsi" w:hAnsiTheme="minorHAnsi" w:cstheme="minorHAnsi"/>
              </w:rPr>
              <w:t>R &amp; M To Hydraulic Works</w:t>
            </w:r>
          </w:p>
        </w:tc>
        <w:tc>
          <w:tcPr>
            <w:tcW w:w="1926" w:type="dxa"/>
            <w:shd w:val="clear" w:color="auto" w:fill="auto"/>
            <w:noWrap/>
            <w:hideMark/>
          </w:tcPr>
          <w:p w14:paraId="2F40DFAC" w14:textId="2E41EE47" w:rsidR="004F5386" w:rsidRPr="00781608" w:rsidRDefault="004F5386" w:rsidP="004F5386">
            <w:pPr>
              <w:jc w:val="right"/>
              <w:rPr>
                <w:rFonts w:asciiTheme="minorHAnsi" w:eastAsia="Times New Roman" w:hAnsiTheme="minorHAnsi" w:cstheme="minorHAnsi"/>
                <w:color w:val="000000"/>
                <w:lang w:val="en-US" w:eastAsia="en-US" w:bidi="gu-IN"/>
              </w:rPr>
            </w:pPr>
            <w:r w:rsidRPr="00781608">
              <w:rPr>
                <w:rFonts w:asciiTheme="minorHAnsi" w:hAnsiTheme="minorHAnsi" w:cstheme="minorHAnsi"/>
              </w:rPr>
              <w:t>31,832.00</w:t>
            </w:r>
          </w:p>
        </w:tc>
      </w:tr>
      <w:tr w:rsidR="004F5386" w:rsidRPr="00781608" w14:paraId="711487D8" w14:textId="77777777" w:rsidTr="004F5386">
        <w:trPr>
          <w:trHeight w:val="300"/>
        </w:trPr>
        <w:tc>
          <w:tcPr>
            <w:tcW w:w="1276" w:type="dxa"/>
            <w:shd w:val="clear" w:color="auto" w:fill="auto"/>
            <w:noWrap/>
            <w:hideMark/>
          </w:tcPr>
          <w:p w14:paraId="11CA0BF8" w14:textId="6717FFD4" w:rsidR="004F5386" w:rsidRPr="00781608" w:rsidRDefault="004F5386" w:rsidP="004F5386">
            <w:pPr>
              <w:rPr>
                <w:rFonts w:asciiTheme="minorHAnsi" w:eastAsia="Times New Roman" w:hAnsiTheme="minorHAnsi" w:cstheme="minorHAnsi"/>
                <w:color w:val="000000"/>
                <w:lang w:val="en-US" w:eastAsia="en-US" w:bidi="gu-IN"/>
              </w:rPr>
            </w:pPr>
            <w:r w:rsidRPr="00781608">
              <w:rPr>
                <w:rFonts w:asciiTheme="minorHAnsi" w:hAnsiTheme="minorHAnsi" w:cstheme="minorHAnsi"/>
              </w:rPr>
              <w:t>74600</w:t>
            </w:r>
          </w:p>
        </w:tc>
        <w:tc>
          <w:tcPr>
            <w:tcW w:w="4453" w:type="dxa"/>
            <w:shd w:val="clear" w:color="auto" w:fill="auto"/>
            <w:noWrap/>
            <w:hideMark/>
          </w:tcPr>
          <w:p w14:paraId="0F39D83A" w14:textId="62267826" w:rsidR="004F5386" w:rsidRPr="00781608" w:rsidRDefault="004F5386" w:rsidP="004F5386">
            <w:pPr>
              <w:rPr>
                <w:rFonts w:asciiTheme="minorHAnsi" w:eastAsia="Times New Roman" w:hAnsiTheme="minorHAnsi" w:cstheme="minorHAnsi"/>
                <w:color w:val="000000"/>
                <w:lang w:val="en-US" w:eastAsia="en-US" w:bidi="gu-IN"/>
              </w:rPr>
            </w:pPr>
            <w:r w:rsidRPr="00781608">
              <w:rPr>
                <w:rFonts w:asciiTheme="minorHAnsi" w:hAnsiTheme="minorHAnsi" w:cstheme="minorHAnsi"/>
              </w:rPr>
              <w:t>R &amp; M To Vehicles</w:t>
            </w:r>
          </w:p>
        </w:tc>
        <w:tc>
          <w:tcPr>
            <w:tcW w:w="1926" w:type="dxa"/>
            <w:shd w:val="clear" w:color="auto" w:fill="auto"/>
            <w:noWrap/>
            <w:hideMark/>
          </w:tcPr>
          <w:p w14:paraId="3928E636" w14:textId="7B0F5510" w:rsidR="004F5386" w:rsidRPr="00781608" w:rsidRDefault="004F5386" w:rsidP="004F5386">
            <w:pPr>
              <w:jc w:val="right"/>
              <w:rPr>
                <w:rFonts w:asciiTheme="minorHAnsi" w:eastAsia="Times New Roman" w:hAnsiTheme="minorHAnsi" w:cstheme="minorHAnsi"/>
                <w:color w:val="000000"/>
                <w:lang w:val="en-US" w:eastAsia="en-US" w:bidi="gu-IN"/>
              </w:rPr>
            </w:pPr>
            <w:r w:rsidRPr="00781608">
              <w:rPr>
                <w:rFonts w:asciiTheme="minorHAnsi" w:hAnsiTheme="minorHAnsi" w:cstheme="minorHAnsi"/>
              </w:rPr>
              <w:t>30,75,881.90</w:t>
            </w:r>
          </w:p>
        </w:tc>
      </w:tr>
      <w:tr w:rsidR="004F5386" w:rsidRPr="00781608" w14:paraId="70F4AEAB" w14:textId="77777777" w:rsidTr="004F5386">
        <w:trPr>
          <w:trHeight w:val="300"/>
        </w:trPr>
        <w:tc>
          <w:tcPr>
            <w:tcW w:w="1276" w:type="dxa"/>
            <w:shd w:val="clear" w:color="auto" w:fill="auto"/>
            <w:noWrap/>
            <w:hideMark/>
          </w:tcPr>
          <w:p w14:paraId="24CBC640" w14:textId="43304BCB" w:rsidR="004F5386" w:rsidRPr="00781608" w:rsidRDefault="004F5386" w:rsidP="004F5386">
            <w:pPr>
              <w:rPr>
                <w:rFonts w:asciiTheme="minorHAnsi" w:eastAsia="Times New Roman" w:hAnsiTheme="minorHAnsi" w:cstheme="minorHAnsi"/>
                <w:color w:val="000000"/>
                <w:lang w:val="en-US" w:eastAsia="en-US" w:bidi="gu-IN"/>
              </w:rPr>
            </w:pPr>
            <w:r w:rsidRPr="00781608">
              <w:rPr>
                <w:rFonts w:asciiTheme="minorHAnsi" w:hAnsiTheme="minorHAnsi" w:cstheme="minorHAnsi"/>
              </w:rPr>
              <w:t>74700</w:t>
            </w:r>
          </w:p>
        </w:tc>
        <w:tc>
          <w:tcPr>
            <w:tcW w:w="4453" w:type="dxa"/>
            <w:shd w:val="clear" w:color="auto" w:fill="auto"/>
            <w:noWrap/>
            <w:hideMark/>
          </w:tcPr>
          <w:p w14:paraId="38814AB6" w14:textId="334CE037" w:rsidR="004F5386" w:rsidRPr="00781608" w:rsidRDefault="004F5386" w:rsidP="004F5386">
            <w:pPr>
              <w:rPr>
                <w:rFonts w:asciiTheme="minorHAnsi" w:eastAsia="Times New Roman" w:hAnsiTheme="minorHAnsi" w:cstheme="minorHAnsi"/>
                <w:color w:val="000000"/>
                <w:lang w:val="en-US" w:eastAsia="en-US" w:bidi="gu-IN"/>
              </w:rPr>
            </w:pPr>
            <w:r w:rsidRPr="00781608">
              <w:rPr>
                <w:rFonts w:asciiTheme="minorHAnsi" w:hAnsiTheme="minorHAnsi" w:cstheme="minorHAnsi"/>
              </w:rPr>
              <w:t>R &amp; M To Furniture Fix Etc</w:t>
            </w:r>
          </w:p>
        </w:tc>
        <w:tc>
          <w:tcPr>
            <w:tcW w:w="1926" w:type="dxa"/>
            <w:shd w:val="clear" w:color="auto" w:fill="auto"/>
            <w:noWrap/>
            <w:hideMark/>
          </w:tcPr>
          <w:p w14:paraId="531BEA34" w14:textId="117AD9E6" w:rsidR="004F5386" w:rsidRPr="00781608" w:rsidRDefault="004F5386" w:rsidP="004F5386">
            <w:pPr>
              <w:jc w:val="right"/>
              <w:rPr>
                <w:rFonts w:asciiTheme="minorHAnsi" w:eastAsia="Times New Roman" w:hAnsiTheme="minorHAnsi" w:cstheme="minorHAnsi"/>
                <w:color w:val="000000"/>
                <w:lang w:val="en-US" w:eastAsia="en-US" w:bidi="gu-IN"/>
              </w:rPr>
            </w:pPr>
            <w:r w:rsidRPr="00781608">
              <w:rPr>
                <w:rFonts w:asciiTheme="minorHAnsi" w:hAnsiTheme="minorHAnsi" w:cstheme="minorHAnsi"/>
              </w:rPr>
              <w:t>30,16,170.77</w:t>
            </w:r>
          </w:p>
        </w:tc>
      </w:tr>
      <w:tr w:rsidR="004F5386" w:rsidRPr="00781608" w14:paraId="42A1B75A" w14:textId="77777777" w:rsidTr="004F5386">
        <w:trPr>
          <w:trHeight w:val="300"/>
        </w:trPr>
        <w:tc>
          <w:tcPr>
            <w:tcW w:w="1276" w:type="dxa"/>
            <w:shd w:val="clear" w:color="auto" w:fill="auto"/>
            <w:noWrap/>
            <w:hideMark/>
          </w:tcPr>
          <w:p w14:paraId="75DDD7E5" w14:textId="3F05ECB4" w:rsidR="004F5386" w:rsidRPr="00781608" w:rsidRDefault="004F5386" w:rsidP="004F5386">
            <w:pPr>
              <w:rPr>
                <w:rFonts w:asciiTheme="minorHAnsi" w:eastAsia="Times New Roman" w:hAnsiTheme="minorHAnsi" w:cstheme="minorHAnsi"/>
                <w:color w:val="000000"/>
                <w:lang w:val="en-US" w:eastAsia="en-US" w:bidi="gu-IN"/>
              </w:rPr>
            </w:pPr>
            <w:r w:rsidRPr="00781608">
              <w:rPr>
                <w:rFonts w:asciiTheme="minorHAnsi" w:hAnsiTheme="minorHAnsi" w:cstheme="minorHAnsi"/>
              </w:rPr>
              <w:t>74800</w:t>
            </w:r>
          </w:p>
        </w:tc>
        <w:tc>
          <w:tcPr>
            <w:tcW w:w="4453" w:type="dxa"/>
            <w:shd w:val="clear" w:color="auto" w:fill="auto"/>
            <w:noWrap/>
            <w:hideMark/>
          </w:tcPr>
          <w:p w14:paraId="5AB05D1B" w14:textId="3A913C72" w:rsidR="004F5386" w:rsidRPr="00781608" w:rsidRDefault="004F5386" w:rsidP="004F5386">
            <w:pPr>
              <w:rPr>
                <w:rFonts w:asciiTheme="minorHAnsi" w:eastAsia="Times New Roman" w:hAnsiTheme="minorHAnsi" w:cstheme="minorHAnsi"/>
                <w:color w:val="000000"/>
                <w:lang w:val="en-US" w:eastAsia="en-US" w:bidi="gu-IN"/>
              </w:rPr>
            </w:pPr>
            <w:r w:rsidRPr="00781608">
              <w:rPr>
                <w:rFonts w:asciiTheme="minorHAnsi" w:hAnsiTheme="minorHAnsi" w:cstheme="minorHAnsi"/>
              </w:rPr>
              <w:t>R &amp; M To Office Equipment</w:t>
            </w:r>
          </w:p>
        </w:tc>
        <w:tc>
          <w:tcPr>
            <w:tcW w:w="1926" w:type="dxa"/>
            <w:shd w:val="clear" w:color="auto" w:fill="auto"/>
            <w:noWrap/>
            <w:hideMark/>
          </w:tcPr>
          <w:p w14:paraId="3AF0CAD2" w14:textId="4D30B09B" w:rsidR="004F5386" w:rsidRPr="00781608" w:rsidRDefault="004F5386" w:rsidP="004F5386">
            <w:pPr>
              <w:jc w:val="right"/>
              <w:rPr>
                <w:rFonts w:asciiTheme="minorHAnsi" w:eastAsia="Times New Roman" w:hAnsiTheme="minorHAnsi" w:cstheme="minorHAnsi"/>
                <w:color w:val="000000"/>
                <w:lang w:val="en-US" w:eastAsia="en-US" w:bidi="gu-IN"/>
              </w:rPr>
            </w:pPr>
            <w:r w:rsidRPr="00781608">
              <w:rPr>
                <w:rFonts w:asciiTheme="minorHAnsi" w:hAnsiTheme="minorHAnsi" w:cstheme="minorHAnsi"/>
              </w:rPr>
              <w:t>7,34,00,609.76</w:t>
            </w:r>
          </w:p>
        </w:tc>
      </w:tr>
      <w:tr w:rsidR="004F5386" w:rsidRPr="00781608" w14:paraId="5F75D181" w14:textId="77777777" w:rsidTr="004F5386">
        <w:trPr>
          <w:trHeight w:val="315"/>
        </w:trPr>
        <w:tc>
          <w:tcPr>
            <w:tcW w:w="1276" w:type="dxa"/>
            <w:shd w:val="clear" w:color="auto" w:fill="auto"/>
            <w:noWrap/>
            <w:hideMark/>
          </w:tcPr>
          <w:p w14:paraId="5103C219" w14:textId="5FF40352" w:rsidR="004F5386" w:rsidRPr="00781608" w:rsidRDefault="004F5386" w:rsidP="004F5386">
            <w:pPr>
              <w:rPr>
                <w:rFonts w:asciiTheme="minorHAnsi" w:eastAsia="Times New Roman" w:hAnsiTheme="minorHAnsi" w:cstheme="minorHAnsi"/>
                <w:b/>
                <w:bCs/>
                <w:color w:val="000000"/>
                <w:lang w:val="en-US" w:eastAsia="en-US" w:bidi="gu-IN"/>
              </w:rPr>
            </w:pPr>
          </w:p>
        </w:tc>
        <w:tc>
          <w:tcPr>
            <w:tcW w:w="4453" w:type="dxa"/>
            <w:shd w:val="clear" w:color="auto" w:fill="auto"/>
            <w:noWrap/>
            <w:hideMark/>
          </w:tcPr>
          <w:p w14:paraId="183A2116" w14:textId="5140E1DB" w:rsidR="004F5386" w:rsidRPr="00781608" w:rsidRDefault="004F5386" w:rsidP="004F5386">
            <w:pPr>
              <w:rPr>
                <w:rFonts w:asciiTheme="minorHAnsi" w:eastAsia="Times New Roman" w:hAnsiTheme="minorHAnsi" w:cstheme="minorHAnsi"/>
                <w:b/>
                <w:bCs/>
                <w:color w:val="000000"/>
                <w:lang w:val="en-US" w:eastAsia="en-US" w:bidi="gu-IN"/>
              </w:rPr>
            </w:pPr>
            <w:r w:rsidRPr="00781608">
              <w:rPr>
                <w:rFonts w:asciiTheme="minorHAnsi" w:hAnsiTheme="minorHAnsi" w:cstheme="minorHAnsi"/>
                <w:b/>
                <w:bCs/>
              </w:rPr>
              <w:t>Total</w:t>
            </w:r>
          </w:p>
        </w:tc>
        <w:tc>
          <w:tcPr>
            <w:tcW w:w="1926" w:type="dxa"/>
            <w:shd w:val="clear" w:color="auto" w:fill="auto"/>
            <w:noWrap/>
            <w:hideMark/>
          </w:tcPr>
          <w:p w14:paraId="091400F8" w14:textId="6CCF4FE9" w:rsidR="004F5386" w:rsidRPr="00781608" w:rsidRDefault="004F5386" w:rsidP="004F5386">
            <w:pPr>
              <w:jc w:val="right"/>
              <w:rPr>
                <w:rFonts w:asciiTheme="minorHAnsi" w:eastAsia="Times New Roman" w:hAnsiTheme="minorHAnsi" w:cstheme="minorHAnsi"/>
                <w:b/>
                <w:bCs/>
                <w:color w:val="000000"/>
                <w:lang w:val="en-US" w:eastAsia="en-US" w:bidi="gu-IN"/>
              </w:rPr>
            </w:pPr>
            <w:r w:rsidRPr="00781608">
              <w:rPr>
                <w:rFonts w:asciiTheme="minorHAnsi" w:hAnsiTheme="minorHAnsi" w:cstheme="minorHAnsi"/>
                <w:b/>
                <w:bCs/>
              </w:rPr>
              <w:t>7,95,24,494.43</w:t>
            </w:r>
          </w:p>
        </w:tc>
      </w:tr>
    </w:tbl>
    <w:p w14:paraId="5B5F973B" w14:textId="77777777" w:rsidR="00E0692B" w:rsidRPr="00781608" w:rsidRDefault="00E0692B" w:rsidP="00E0692B">
      <w:pPr>
        <w:pStyle w:val="ListParagraph"/>
        <w:spacing w:line="276" w:lineRule="auto"/>
        <w:jc w:val="both"/>
        <w:rPr>
          <w:rFonts w:asciiTheme="minorHAnsi" w:hAnsiTheme="minorHAnsi" w:cstheme="minorHAnsi"/>
          <w:b/>
          <w:bCs/>
          <w:sz w:val="24"/>
          <w:szCs w:val="24"/>
        </w:rPr>
      </w:pPr>
    </w:p>
    <w:p w14:paraId="7D398D9E" w14:textId="77777777" w:rsidR="00961353" w:rsidRPr="00781608" w:rsidRDefault="00A56DF7" w:rsidP="00E85684">
      <w:pPr>
        <w:pStyle w:val="ydp360db5b4yiv6248630976msolistparagraph"/>
        <w:numPr>
          <w:ilvl w:val="0"/>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t>Regarding the computation of depreciation, UGVCL should: clarify whether the deprecation on assets which are already depreciated up to 90% of GFA has been considered.</w:t>
      </w:r>
    </w:p>
    <w:p w14:paraId="23FAE8C7" w14:textId="77777777" w:rsidR="0097338F" w:rsidRPr="00781608" w:rsidRDefault="00836677" w:rsidP="00E85684">
      <w:pPr>
        <w:pStyle w:val="ydp360db5b4yiv6248630976msolistparagraph"/>
        <w:spacing w:beforeAutospacing="0" w:after="200" w:afterAutospacing="0" w:line="276" w:lineRule="auto"/>
        <w:ind w:left="720"/>
        <w:jc w:val="both"/>
        <w:rPr>
          <w:rFonts w:asciiTheme="minorHAnsi" w:hAnsiTheme="minorHAnsi" w:cstheme="minorHAnsi"/>
          <w:sz w:val="24"/>
          <w:szCs w:val="24"/>
        </w:rPr>
      </w:pPr>
      <w:r w:rsidRPr="00781608">
        <w:rPr>
          <w:rFonts w:asciiTheme="minorHAnsi" w:eastAsia="Times New Roman" w:hAnsiTheme="minorHAnsi" w:cstheme="minorHAnsi"/>
          <w:b/>
          <w:bCs/>
          <w:sz w:val="24"/>
          <w:szCs w:val="24"/>
        </w:rPr>
        <w:t>Compliance</w:t>
      </w:r>
      <w:r w:rsidR="0097338F" w:rsidRPr="00781608">
        <w:rPr>
          <w:rFonts w:asciiTheme="minorHAnsi" w:eastAsia="Times New Roman" w:hAnsiTheme="minorHAnsi" w:cstheme="minorHAnsi"/>
          <w:b/>
          <w:bCs/>
          <w:sz w:val="24"/>
          <w:szCs w:val="24"/>
        </w:rPr>
        <w:t>:</w:t>
      </w:r>
      <w:r w:rsidR="0097338F" w:rsidRPr="00781608">
        <w:rPr>
          <w:rFonts w:asciiTheme="minorHAnsi" w:eastAsia="Times New Roman" w:hAnsiTheme="minorHAnsi" w:cstheme="minorHAnsi"/>
          <w:sz w:val="24"/>
          <w:szCs w:val="24"/>
        </w:rPr>
        <w:t xml:space="preserve"> UGVCL has not considered depreciation on assets which are already depreciated up to 90% of GFA.</w:t>
      </w:r>
    </w:p>
    <w:p w14:paraId="6BC0CFDD" w14:textId="77777777" w:rsidR="00961353" w:rsidRPr="00781608" w:rsidRDefault="00A56DF7" w:rsidP="00E85684">
      <w:pPr>
        <w:pStyle w:val="ydp360db5b4yiv6248630976msolistparagraph"/>
        <w:numPr>
          <w:ilvl w:val="0"/>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t xml:space="preserve">Please submit details </w:t>
      </w:r>
      <w:proofErr w:type="gramStart"/>
      <w:r w:rsidRPr="00781608">
        <w:rPr>
          <w:rFonts w:asciiTheme="minorHAnsi" w:eastAsia="Times New Roman" w:hAnsiTheme="minorHAnsi" w:cstheme="minorHAnsi"/>
          <w:sz w:val="24"/>
          <w:szCs w:val="24"/>
        </w:rPr>
        <w:t>in regard to</w:t>
      </w:r>
      <w:proofErr w:type="gramEnd"/>
      <w:r w:rsidRPr="00781608">
        <w:rPr>
          <w:rFonts w:asciiTheme="minorHAnsi" w:eastAsia="Times New Roman" w:hAnsiTheme="minorHAnsi" w:cstheme="minorHAnsi"/>
          <w:sz w:val="24"/>
          <w:szCs w:val="24"/>
        </w:rPr>
        <w:t xml:space="preserve"> Depreciation in the attached format.</w:t>
      </w:r>
    </w:p>
    <w:p w14:paraId="5EF34C9E" w14:textId="6F8AA504" w:rsidR="00A921DD" w:rsidRPr="00781608" w:rsidRDefault="00A921DD" w:rsidP="00A921DD">
      <w:pPr>
        <w:pStyle w:val="ydp360db5b4yiv6248630976msolistparagraph"/>
        <w:spacing w:beforeAutospacing="0" w:after="200" w:afterAutospacing="0" w:line="276" w:lineRule="auto"/>
        <w:ind w:left="720"/>
        <w:jc w:val="both"/>
        <w:rPr>
          <w:rFonts w:asciiTheme="minorHAnsi" w:hAnsiTheme="minorHAnsi" w:cstheme="minorHAnsi"/>
          <w:sz w:val="24"/>
          <w:szCs w:val="24"/>
        </w:rPr>
      </w:pPr>
      <w:r w:rsidRPr="00781608">
        <w:rPr>
          <w:rFonts w:asciiTheme="minorHAnsi" w:eastAsia="Times New Roman" w:hAnsiTheme="minorHAnsi" w:cstheme="minorHAnsi"/>
          <w:b/>
          <w:bCs/>
          <w:sz w:val="24"/>
          <w:szCs w:val="24"/>
        </w:rPr>
        <w:t>Compliance:</w:t>
      </w:r>
      <w:r w:rsidRPr="00781608">
        <w:rPr>
          <w:rFonts w:asciiTheme="minorHAnsi" w:hAnsiTheme="minorHAnsi" w:cstheme="minorHAnsi"/>
          <w:color w:val="000000"/>
          <w:lang w:bidi="gu-IN"/>
        </w:rPr>
        <w:t xml:space="preserve">  </w:t>
      </w:r>
      <w:r w:rsidRPr="00781608">
        <w:rPr>
          <w:rFonts w:asciiTheme="minorHAnsi" w:hAnsiTheme="minorHAnsi" w:cstheme="minorHAnsi"/>
          <w:color w:val="000000"/>
          <w:sz w:val="24"/>
          <w:szCs w:val="24"/>
          <w:lang w:bidi="gu-IN"/>
        </w:rPr>
        <w:t xml:space="preserve">Details </w:t>
      </w:r>
      <w:proofErr w:type="gramStart"/>
      <w:r w:rsidRPr="00781608">
        <w:rPr>
          <w:rFonts w:asciiTheme="minorHAnsi" w:hAnsiTheme="minorHAnsi" w:cstheme="minorHAnsi"/>
          <w:color w:val="000000"/>
          <w:sz w:val="24"/>
          <w:szCs w:val="24"/>
          <w:lang w:bidi="gu-IN"/>
        </w:rPr>
        <w:t>in regard to</w:t>
      </w:r>
      <w:proofErr w:type="gramEnd"/>
      <w:r w:rsidRPr="00781608">
        <w:rPr>
          <w:rFonts w:asciiTheme="minorHAnsi" w:hAnsiTheme="minorHAnsi" w:cstheme="minorHAnsi"/>
          <w:color w:val="000000"/>
          <w:sz w:val="24"/>
          <w:szCs w:val="24"/>
          <w:lang w:bidi="gu-IN"/>
        </w:rPr>
        <w:t xml:space="preserve"> depreciation is appended as </w:t>
      </w:r>
      <w:r w:rsidRPr="00781608">
        <w:rPr>
          <w:rFonts w:asciiTheme="minorHAnsi" w:hAnsiTheme="minorHAnsi" w:cstheme="minorHAnsi"/>
          <w:b/>
          <w:bCs/>
          <w:color w:val="000000"/>
          <w:sz w:val="24"/>
          <w:szCs w:val="24"/>
          <w:lang w:bidi="gu-IN"/>
        </w:rPr>
        <w:t>Annexure-</w:t>
      </w:r>
      <w:r w:rsidR="00483BB1">
        <w:rPr>
          <w:rFonts w:asciiTheme="minorHAnsi" w:hAnsiTheme="minorHAnsi" w:cstheme="minorHAnsi"/>
          <w:b/>
          <w:bCs/>
          <w:color w:val="000000"/>
          <w:sz w:val="24"/>
          <w:szCs w:val="24"/>
          <w:lang w:bidi="gu-IN"/>
        </w:rPr>
        <w:t>C</w:t>
      </w:r>
      <w:r w:rsidRPr="00781608">
        <w:rPr>
          <w:rFonts w:asciiTheme="minorHAnsi" w:hAnsiTheme="minorHAnsi" w:cstheme="minorHAnsi"/>
          <w:color w:val="000000"/>
          <w:sz w:val="24"/>
          <w:szCs w:val="24"/>
          <w:lang w:bidi="gu-IN"/>
        </w:rPr>
        <w:t>.</w:t>
      </w:r>
    </w:p>
    <w:p w14:paraId="36CF22A4" w14:textId="77777777" w:rsidR="00961353" w:rsidRPr="00781608" w:rsidRDefault="00A56DF7" w:rsidP="00E85684">
      <w:pPr>
        <w:pStyle w:val="ydp360db5b4yiv6248630976msolistparagraph"/>
        <w:numPr>
          <w:ilvl w:val="0"/>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t>UGVCL should provide detailed computation of weighted average interest rate on actual loan portfolio for FY 2019-20 and 2020-21 along with the supporting documents, in accordance with the GERC MYT Regulations, 2016, as per the attached format.</w:t>
      </w:r>
    </w:p>
    <w:p w14:paraId="4370ADDE" w14:textId="7EE93BCE" w:rsidR="00A921DD" w:rsidRPr="00781608" w:rsidRDefault="00A921DD" w:rsidP="00A921DD">
      <w:pPr>
        <w:spacing w:line="276" w:lineRule="auto"/>
        <w:ind w:left="720"/>
        <w:jc w:val="both"/>
        <w:rPr>
          <w:rFonts w:asciiTheme="minorHAnsi" w:hAnsiTheme="minorHAnsi" w:cstheme="minorHAnsi"/>
          <w:color w:val="000000"/>
          <w:sz w:val="24"/>
          <w:szCs w:val="24"/>
          <w:lang w:bidi="gu-IN"/>
        </w:rPr>
      </w:pPr>
      <w:r w:rsidRPr="00781608">
        <w:rPr>
          <w:rFonts w:asciiTheme="minorHAnsi" w:eastAsia="Times New Roman" w:hAnsiTheme="minorHAnsi" w:cstheme="minorHAnsi"/>
          <w:b/>
          <w:bCs/>
          <w:sz w:val="24"/>
          <w:szCs w:val="24"/>
        </w:rPr>
        <w:t xml:space="preserve">Compliance: </w:t>
      </w:r>
      <w:r w:rsidRPr="00781608">
        <w:rPr>
          <w:rFonts w:asciiTheme="minorHAnsi" w:hAnsiTheme="minorHAnsi" w:cstheme="minorHAnsi"/>
          <w:color w:val="000000"/>
          <w:sz w:val="24"/>
          <w:szCs w:val="24"/>
          <w:lang w:bidi="gu-IN"/>
        </w:rPr>
        <w:t xml:space="preserve">Computation of weighted average interest rate on actual loan portfolio for FY 2019-20 and 2020-21 is appended as </w:t>
      </w:r>
      <w:r w:rsidRPr="00781608">
        <w:rPr>
          <w:rFonts w:asciiTheme="minorHAnsi" w:hAnsiTheme="minorHAnsi" w:cstheme="minorHAnsi"/>
          <w:b/>
          <w:bCs/>
          <w:color w:val="000000"/>
          <w:sz w:val="24"/>
          <w:szCs w:val="24"/>
          <w:lang w:bidi="gu-IN"/>
        </w:rPr>
        <w:t>Annexure-</w:t>
      </w:r>
      <w:r w:rsidR="00483BB1">
        <w:rPr>
          <w:rFonts w:asciiTheme="minorHAnsi" w:hAnsiTheme="minorHAnsi" w:cstheme="minorHAnsi"/>
          <w:b/>
          <w:bCs/>
          <w:color w:val="000000"/>
          <w:sz w:val="24"/>
          <w:szCs w:val="24"/>
          <w:lang w:bidi="gu-IN"/>
        </w:rPr>
        <w:t>D</w:t>
      </w:r>
      <w:r w:rsidRPr="00781608">
        <w:rPr>
          <w:rFonts w:asciiTheme="minorHAnsi" w:hAnsiTheme="minorHAnsi" w:cstheme="minorHAnsi"/>
          <w:color w:val="000000"/>
          <w:sz w:val="24"/>
          <w:szCs w:val="24"/>
          <w:lang w:bidi="gu-IN"/>
        </w:rPr>
        <w:t xml:space="preserve">. </w:t>
      </w:r>
    </w:p>
    <w:p w14:paraId="54CAF1A4" w14:textId="77777777" w:rsidR="00961353" w:rsidRPr="00781608" w:rsidRDefault="00A56DF7" w:rsidP="00A921DD">
      <w:pPr>
        <w:pStyle w:val="ydp360db5b4yiv6248630976msolistparagraph"/>
        <w:numPr>
          <w:ilvl w:val="0"/>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t xml:space="preserve">Furnish details of the loan, if any, converted into grant during FY 2020-21. Also furnish impact of such conversion on various elements of ARR. </w:t>
      </w:r>
    </w:p>
    <w:p w14:paraId="08A5122C" w14:textId="77777777" w:rsidR="00873C71" w:rsidRPr="00781608" w:rsidRDefault="001B6F45" w:rsidP="00873C71">
      <w:pPr>
        <w:pStyle w:val="ListParagraph"/>
        <w:jc w:val="both"/>
        <w:rPr>
          <w:rFonts w:asciiTheme="minorHAnsi" w:eastAsia="Times New Roman" w:hAnsiTheme="minorHAnsi" w:cstheme="minorHAnsi"/>
          <w:color w:val="000000"/>
          <w:lang w:bidi="gu-IN"/>
        </w:rPr>
      </w:pPr>
      <w:r w:rsidRPr="00781608">
        <w:rPr>
          <w:rFonts w:asciiTheme="minorHAnsi" w:eastAsia="Times New Roman" w:hAnsiTheme="minorHAnsi" w:cstheme="minorHAnsi"/>
          <w:b/>
          <w:bCs/>
          <w:sz w:val="24"/>
          <w:szCs w:val="24"/>
        </w:rPr>
        <w:t xml:space="preserve">Compliance: </w:t>
      </w:r>
      <w:r w:rsidR="00873C71" w:rsidRPr="00781608">
        <w:rPr>
          <w:rFonts w:asciiTheme="minorHAnsi" w:eastAsia="Times New Roman" w:hAnsiTheme="minorHAnsi" w:cstheme="minorHAnsi"/>
          <w:sz w:val="24"/>
          <w:szCs w:val="24"/>
        </w:rPr>
        <w:t>No loan was converted into Grant during the FY 2020-21.</w:t>
      </w:r>
    </w:p>
    <w:p w14:paraId="3FB6E38C" w14:textId="77777777" w:rsidR="00873C71" w:rsidRPr="00781608" w:rsidRDefault="00873C71" w:rsidP="00873C71">
      <w:pPr>
        <w:pStyle w:val="ListParagraph"/>
        <w:jc w:val="both"/>
        <w:rPr>
          <w:rFonts w:asciiTheme="minorHAnsi" w:eastAsia="Times New Roman" w:hAnsiTheme="minorHAnsi" w:cstheme="minorHAnsi"/>
          <w:b/>
          <w:bCs/>
          <w:color w:val="000000"/>
          <w:lang w:bidi="gu-IN"/>
        </w:rPr>
      </w:pPr>
    </w:p>
    <w:p w14:paraId="66444939" w14:textId="77777777" w:rsidR="00A56DF7" w:rsidRPr="00781608" w:rsidRDefault="00A56DF7" w:rsidP="00E85684">
      <w:pPr>
        <w:pStyle w:val="ydp360db5b4yiv6248630976msolistparagraph"/>
        <w:numPr>
          <w:ilvl w:val="0"/>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lastRenderedPageBreak/>
        <w:t>UGVCL should submit the details of consumer security deposit for FY 2020-21 in the following format:</w:t>
      </w:r>
    </w:p>
    <w:p w14:paraId="64BA07F7" w14:textId="77777777" w:rsidR="00A921DD" w:rsidRPr="00781608" w:rsidRDefault="00836677" w:rsidP="00E85684">
      <w:pPr>
        <w:pStyle w:val="ydp360db5b4yiv6248630976msolistparagraph"/>
        <w:spacing w:beforeAutospacing="0" w:after="200" w:afterAutospacing="0" w:line="276" w:lineRule="auto"/>
        <w:ind w:left="720"/>
        <w:jc w:val="both"/>
        <w:rPr>
          <w:rFonts w:asciiTheme="minorHAnsi" w:eastAsia="Times New Roman" w:hAnsiTheme="minorHAnsi" w:cstheme="minorHAnsi"/>
          <w:b/>
          <w:bCs/>
          <w:sz w:val="24"/>
          <w:szCs w:val="24"/>
        </w:rPr>
      </w:pPr>
      <w:r w:rsidRPr="00781608">
        <w:rPr>
          <w:rFonts w:asciiTheme="minorHAnsi" w:eastAsia="Times New Roman" w:hAnsiTheme="minorHAnsi" w:cstheme="minorHAnsi"/>
          <w:b/>
          <w:bCs/>
          <w:sz w:val="24"/>
          <w:szCs w:val="24"/>
        </w:rPr>
        <w:t>Compliance</w:t>
      </w:r>
      <w:r w:rsidR="009161E3" w:rsidRPr="00781608">
        <w:rPr>
          <w:rFonts w:asciiTheme="minorHAnsi" w:eastAsia="Times New Roman" w:hAnsiTheme="minorHAnsi" w:cstheme="minorHAnsi"/>
          <w:b/>
          <w:bCs/>
          <w:sz w:val="24"/>
          <w:szCs w:val="24"/>
        </w:rPr>
        <w:t xml:space="preserve">: </w:t>
      </w:r>
    </w:p>
    <w:tbl>
      <w:tblPr>
        <w:tblW w:w="60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27"/>
        <w:gridCol w:w="1327"/>
      </w:tblGrid>
      <w:tr w:rsidR="003C247B" w:rsidRPr="00781608" w14:paraId="43A8DDCF" w14:textId="77777777" w:rsidTr="009161E3">
        <w:trPr>
          <w:trHeight w:val="300"/>
        </w:trPr>
        <w:tc>
          <w:tcPr>
            <w:tcW w:w="851" w:type="dxa"/>
            <w:shd w:val="clear" w:color="000000" w:fill="DDEBF7"/>
            <w:noWrap/>
            <w:hideMark/>
          </w:tcPr>
          <w:p w14:paraId="4FD07D06" w14:textId="77777777" w:rsidR="009161E3" w:rsidRPr="00781608" w:rsidRDefault="009161E3" w:rsidP="00E85684">
            <w:pPr>
              <w:spacing w:line="276" w:lineRule="auto"/>
              <w:rPr>
                <w:rFonts w:asciiTheme="minorHAnsi" w:eastAsia="Times New Roman" w:hAnsiTheme="minorHAnsi" w:cstheme="minorHAnsi"/>
                <w:b/>
                <w:bCs/>
              </w:rPr>
            </w:pPr>
            <w:r w:rsidRPr="00781608">
              <w:rPr>
                <w:rFonts w:asciiTheme="minorHAnsi" w:hAnsiTheme="minorHAnsi" w:cstheme="minorHAnsi"/>
                <w:b/>
                <w:bCs/>
              </w:rPr>
              <w:t>Sr. No.</w:t>
            </w:r>
          </w:p>
        </w:tc>
        <w:tc>
          <w:tcPr>
            <w:tcW w:w="3827" w:type="dxa"/>
            <w:shd w:val="clear" w:color="000000" w:fill="DDEBF7"/>
            <w:hideMark/>
          </w:tcPr>
          <w:p w14:paraId="0C593769" w14:textId="77777777" w:rsidR="009161E3" w:rsidRPr="00781608" w:rsidRDefault="009161E3" w:rsidP="00E85684">
            <w:pPr>
              <w:spacing w:line="276" w:lineRule="auto"/>
              <w:rPr>
                <w:rFonts w:asciiTheme="minorHAnsi" w:eastAsia="Times New Roman" w:hAnsiTheme="minorHAnsi" w:cstheme="minorHAnsi"/>
                <w:b/>
                <w:bCs/>
              </w:rPr>
            </w:pPr>
            <w:r w:rsidRPr="00781608">
              <w:rPr>
                <w:rFonts w:asciiTheme="minorHAnsi" w:hAnsiTheme="minorHAnsi" w:cstheme="minorHAnsi"/>
                <w:b/>
                <w:bCs/>
              </w:rPr>
              <w:t>Particulars</w:t>
            </w:r>
          </w:p>
        </w:tc>
        <w:tc>
          <w:tcPr>
            <w:tcW w:w="1327" w:type="dxa"/>
            <w:shd w:val="clear" w:color="000000" w:fill="DDEBF7"/>
            <w:hideMark/>
          </w:tcPr>
          <w:p w14:paraId="55AF5DA8" w14:textId="77777777" w:rsidR="009161E3" w:rsidRPr="00781608" w:rsidRDefault="009161E3" w:rsidP="00E85684">
            <w:pPr>
              <w:spacing w:line="276" w:lineRule="auto"/>
              <w:rPr>
                <w:rFonts w:asciiTheme="minorHAnsi" w:eastAsia="Times New Roman" w:hAnsiTheme="minorHAnsi" w:cstheme="minorHAnsi"/>
                <w:b/>
                <w:bCs/>
              </w:rPr>
            </w:pPr>
            <w:r w:rsidRPr="00781608">
              <w:rPr>
                <w:rFonts w:asciiTheme="minorHAnsi" w:hAnsiTheme="minorHAnsi" w:cstheme="minorHAnsi"/>
                <w:b/>
                <w:bCs/>
              </w:rPr>
              <w:t>FY 2020-21</w:t>
            </w:r>
          </w:p>
        </w:tc>
      </w:tr>
      <w:tr w:rsidR="003C247B" w:rsidRPr="00781608" w14:paraId="6D053763" w14:textId="77777777" w:rsidTr="009161E3">
        <w:trPr>
          <w:trHeight w:val="300"/>
        </w:trPr>
        <w:tc>
          <w:tcPr>
            <w:tcW w:w="851" w:type="dxa"/>
            <w:shd w:val="clear" w:color="auto" w:fill="auto"/>
            <w:hideMark/>
          </w:tcPr>
          <w:p w14:paraId="405217A1" w14:textId="77777777" w:rsidR="009161E3" w:rsidRPr="00781608" w:rsidRDefault="009161E3" w:rsidP="00E85684">
            <w:pPr>
              <w:spacing w:line="276" w:lineRule="auto"/>
              <w:jc w:val="center"/>
              <w:rPr>
                <w:rFonts w:asciiTheme="minorHAnsi" w:eastAsia="Times New Roman" w:hAnsiTheme="minorHAnsi" w:cstheme="minorHAnsi"/>
                <w:b/>
                <w:bCs/>
              </w:rPr>
            </w:pPr>
            <w:r w:rsidRPr="00781608">
              <w:rPr>
                <w:rFonts w:asciiTheme="minorHAnsi" w:hAnsiTheme="minorHAnsi" w:cstheme="minorHAnsi"/>
                <w:b/>
                <w:bCs/>
              </w:rPr>
              <w:t>1</w:t>
            </w:r>
          </w:p>
        </w:tc>
        <w:tc>
          <w:tcPr>
            <w:tcW w:w="3827" w:type="dxa"/>
            <w:shd w:val="clear" w:color="auto" w:fill="auto"/>
            <w:noWrap/>
            <w:hideMark/>
          </w:tcPr>
          <w:p w14:paraId="286155A1" w14:textId="77777777" w:rsidR="009161E3" w:rsidRPr="00781608" w:rsidRDefault="009161E3" w:rsidP="00E85684">
            <w:pPr>
              <w:spacing w:line="276" w:lineRule="auto"/>
              <w:rPr>
                <w:rFonts w:asciiTheme="minorHAnsi" w:eastAsia="Times New Roman" w:hAnsiTheme="minorHAnsi" w:cstheme="minorHAnsi"/>
              </w:rPr>
            </w:pPr>
            <w:r w:rsidRPr="00781608">
              <w:rPr>
                <w:rFonts w:asciiTheme="minorHAnsi" w:hAnsiTheme="minorHAnsi" w:cstheme="minorHAnsi"/>
              </w:rPr>
              <w:t>Opening Balance</w:t>
            </w:r>
          </w:p>
        </w:tc>
        <w:tc>
          <w:tcPr>
            <w:tcW w:w="1327" w:type="dxa"/>
            <w:shd w:val="clear" w:color="auto" w:fill="auto"/>
            <w:noWrap/>
          </w:tcPr>
          <w:p w14:paraId="391EC8AC" w14:textId="77777777" w:rsidR="009161E3" w:rsidRPr="00781608" w:rsidRDefault="009161E3"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 xml:space="preserve">1576.38 </w:t>
            </w:r>
          </w:p>
        </w:tc>
      </w:tr>
      <w:tr w:rsidR="003C247B" w:rsidRPr="00781608" w14:paraId="63A27DEF" w14:textId="77777777" w:rsidTr="009161E3">
        <w:trPr>
          <w:trHeight w:val="300"/>
        </w:trPr>
        <w:tc>
          <w:tcPr>
            <w:tcW w:w="851" w:type="dxa"/>
            <w:shd w:val="clear" w:color="auto" w:fill="auto"/>
            <w:hideMark/>
          </w:tcPr>
          <w:p w14:paraId="7C2AC70C" w14:textId="77777777" w:rsidR="009161E3" w:rsidRPr="00781608" w:rsidRDefault="009161E3" w:rsidP="00E85684">
            <w:pPr>
              <w:spacing w:line="276" w:lineRule="auto"/>
              <w:jc w:val="center"/>
              <w:rPr>
                <w:rFonts w:asciiTheme="minorHAnsi" w:eastAsia="Times New Roman" w:hAnsiTheme="minorHAnsi" w:cstheme="minorHAnsi"/>
                <w:b/>
                <w:bCs/>
              </w:rPr>
            </w:pPr>
            <w:r w:rsidRPr="00781608">
              <w:rPr>
                <w:rFonts w:asciiTheme="minorHAnsi" w:hAnsiTheme="minorHAnsi" w:cstheme="minorHAnsi"/>
                <w:b/>
                <w:bCs/>
              </w:rPr>
              <w:t>2</w:t>
            </w:r>
          </w:p>
        </w:tc>
        <w:tc>
          <w:tcPr>
            <w:tcW w:w="3827" w:type="dxa"/>
            <w:shd w:val="clear" w:color="auto" w:fill="auto"/>
            <w:noWrap/>
            <w:hideMark/>
          </w:tcPr>
          <w:p w14:paraId="102321C1" w14:textId="77777777" w:rsidR="009161E3" w:rsidRPr="00781608" w:rsidRDefault="009161E3" w:rsidP="00E85684">
            <w:pPr>
              <w:spacing w:line="276" w:lineRule="auto"/>
              <w:rPr>
                <w:rFonts w:asciiTheme="minorHAnsi" w:eastAsia="Times New Roman" w:hAnsiTheme="minorHAnsi" w:cstheme="minorHAnsi"/>
              </w:rPr>
            </w:pPr>
            <w:r w:rsidRPr="00781608">
              <w:rPr>
                <w:rFonts w:asciiTheme="minorHAnsi" w:hAnsiTheme="minorHAnsi" w:cstheme="minorHAnsi"/>
              </w:rPr>
              <w:t>Addition during the year</w:t>
            </w:r>
          </w:p>
        </w:tc>
        <w:tc>
          <w:tcPr>
            <w:tcW w:w="1327" w:type="dxa"/>
            <w:shd w:val="clear" w:color="auto" w:fill="auto"/>
            <w:noWrap/>
          </w:tcPr>
          <w:p w14:paraId="2ED2AF79" w14:textId="77777777" w:rsidR="009161E3" w:rsidRPr="00781608" w:rsidRDefault="009161E3"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 xml:space="preserve">173.49 </w:t>
            </w:r>
          </w:p>
        </w:tc>
      </w:tr>
      <w:tr w:rsidR="003C247B" w:rsidRPr="00781608" w14:paraId="6BA1AD38" w14:textId="77777777" w:rsidTr="009161E3">
        <w:trPr>
          <w:trHeight w:val="300"/>
        </w:trPr>
        <w:tc>
          <w:tcPr>
            <w:tcW w:w="851" w:type="dxa"/>
            <w:shd w:val="clear" w:color="auto" w:fill="auto"/>
          </w:tcPr>
          <w:p w14:paraId="6BC636E1" w14:textId="77777777" w:rsidR="009161E3" w:rsidRPr="00781608" w:rsidRDefault="009161E3" w:rsidP="00E85684">
            <w:pPr>
              <w:spacing w:line="276" w:lineRule="auto"/>
              <w:jc w:val="center"/>
              <w:rPr>
                <w:rFonts w:asciiTheme="minorHAnsi" w:eastAsia="Times New Roman" w:hAnsiTheme="minorHAnsi" w:cstheme="minorHAnsi"/>
                <w:b/>
                <w:bCs/>
              </w:rPr>
            </w:pPr>
            <w:r w:rsidRPr="00781608">
              <w:rPr>
                <w:rFonts w:asciiTheme="minorHAnsi" w:hAnsiTheme="minorHAnsi" w:cstheme="minorHAnsi"/>
                <w:b/>
                <w:bCs/>
              </w:rPr>
              <w:t>3</w:t>
            </w:r>
          </w:p>
        </w:tc>
        <w:tc>
          <w:tcPr>
            <w:tcW w:w="3827" w:type="dxa"/>
            <w:shd w:val="clear" w:color="auto" w:fill="auto"/>
            <w:noWrap/>
          </w:tcPr>
          <w:p w14:paraId="2E3435A6" w14:textId="77777777" w:rsidR="009161E3" w:rsidRPr="00781608" w:rsidRDefault="009161E3" w:rsidP="00E85684">
            <w:pPr>
              <w:spacing w:line="276" w:lineRule="auto"/>
              <w:rPr>
                <w:rFonts w:asciiTheme="minorHAnsi" w:eastAsia="Times New Roman" w:hAnsiTheme="minorHAnsi" w:cstheme="minorHAnsi"/>
              </w:rPr>
            </w:pPr>
            <w:r w:rsidRPr="00781608">
              <w:rPr>
                <w:rFonts w:asciiTheme="minorHAnsi" w:hAnsiTheme="minorHAnsi" w:cstheme="minorHAnsi"/>
              </w:rPr>
              <w:t>Closing balance</w:t>
            </w:r>
          </w:p>
        </w:tc>
        <w:tc>
          <w:tcPr>
            <w:tcW w:w="1327" w:type="dxa"/>
            <w:shd w:val="clear" w:color="auto" w:fill="auto"/>
            <w:noWrap/>
          </w:tcPr>
          <w:p w14:paraId="23FAE7F7" w14:textId="77777777" w:rsidR="009161E3" w:rsidRPr="00781608" w:rsidRDefault="009161E3"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 xml:space="preserve">1749.87 </w:t>
            </w:r>
          </w:p>
        </w:tc>
      </w:tr>
      <w:tr w:rsidR="009161E3" w:rsidRPr="00781608" w14:paraId="1D4F241A" w14:textId="77777777" w:rsidTr="009161E3">
        <w:trPr>
          <w:trHeight w:val="300"/>
        </w:trPr>
        <w:tc>
          <w:tcPr>
            <w:tcW w:w="851" w:type="dxa"/>
            <w:shd w:val="clear" w:color="auto" w:fill="auto"/>
          </w:tcPr>
          <w:p w14:paraId="347F29EA" w14:textId="77777777" w:rsidR="009161E3" w:rsidRPr="00781608" w:rsidRDefault="009161E3" w:rsidP="00E85684">
            <w:pPr>
              <w:spacing w:line="276" w:lineRule="auto"/>
              <w:jc w:val="center"/>
              <w:rPr>
                <w:rFonts w:asciiTheme="minorHAnsi" w:eastAsia="Times New Roman" w:hAnsiTheme="minorHAnsi" w:cstheme="minorHAnsi"/>
                <w:b/>
                <w:bCs/>
              </w:rPr>
            </w:pPr>
            <w:r w:rsidRPr="00781608">
              <w:rPr>
                <w:rFonts w:asciiTheme="minorHAnsi" w:hAnsiTheme="minorHAnsi" w:cstheme="minorHAnsi"/>
                <w:b/>
                <w:bCs/>
              </w:rPr>
              <w:t>4</w:t>
            </w:r>
          </w:p>
        </w:tc>
        <w:tc>
          <w:tcPr>
            <w:tcW w:w="3827" w:type="dxa"/>
            <w:shd w:val="clear" w:color="auto" w:fill="auto"/>
            <w:noWrap/>
          </w:tcPr>
          <w:p w14:paraId="0D77D77E" w14:textId="77777777" w:rsidR="009161E3" w:rsidRPr="00781608" w:rsidRDefault="009161E3" w:rsidP="00E85684">
            <w:pPr>
              <w:spacing w:line="276" w:lineRule="auto"/>
              <w:rPr>
                <w:rFonts w:asciiTheme="minorHAnsi" w:eastAsia="Times New Roman" w:hAnsiTheme="minorHAnsi" w:cstheme="minorHAnsi"/>
              </w:rPr>
            </w:pPr>
            <w:r w:rsidRPr="00781608">
              <w:rPr>
                <w:rFonts w:asciiTheme="minorHAnsi" w:hAnsiTheme="minorHAnsi" w:cstheme="minorHAnsi"/>
              </w:rPr>
              <w:t>Actual Interest Paid/adjusted on CSD</w:t>
            </w:r>
          </w:p>
        </w:tc>
        <w:tc>
          <w:tcPr>
            <w:tcW w:w="1327" w:type="dxa"/>
            <w:shd w:val="clear" w:color="auto" w:fill="auto"/>
            <w:noWrap/>
          </w:tcPr>
          <w:p w14:paraId="4992BC50" w14:textId="77777777" w:rsidR="009161E3" w:rsidRPr="00781608" w:rsidRDefault="009161E3" w:rsidP="00E85684">
            <w:pPr>
              <w:spacing w:line="276" w:lineRule="auto"/>
              <w:jc w:val="right"/>
              <w:rPr>
                <w:rFonts w:asciiTheme="minorHAnsi" w:eastAsia="Times New Roman" w:hAnsiTheme="minorHAnsi" w:cstheme="minorHAnsi"/>
              </w:rPr>
            </w:pPr>
            <w:r w:rsidRPr="00781608">
              <w:rPr>
                <w:rFonts w:asciiTheme="minorHAnsi" w:hAnsiTheme="minorHAnsi" w:cstheme="minorHAnsi"/>
              </w:rPr>
              <w:t xml:space="preserve">73.03 </w:t>
            </w:r>
          </w:p>
        </w:tc>
      </w:tr>
    </w:tbl>
    <w:p w14:paraId="0028C786" w14:textId="77777777" w:rsidR="00961353" w:rsidRPr="00781608" w:rsidRDefault="00980462" w:rsidP="00E85684">
      <w:pPr>
        <w:pStyle w:val="ydp360db5b4yiv6248630976msolistparagraph"/>
        <w:numPr>
          <w:ilvl w:val="0"/>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 xml:space="preserve">As regards the Revenue for FY 2020-21, </w:t>
      </w:r>
      <w:r w:rsidR="00A56DF7" w:rsidRPr="00781608">
        <w:rPr>
          <w:rFonts w:asciiTheme="minorHAnsi" w:eastAsia="Times New Roman" w:hAnsiTheme="minorHAnsi" w:cstheme="minorHAnsi"/>
          <w:sz w:val="24"/>
          <w:szCs w:val="24"/>
        </w:rPr>
        <w:t xml:space="preserve">UGVCL should </w:t>
      </w:r>
    </w:p>
    <w:p w14:paraId="377B1D7F" w14:textId="77777777" w:rsidR="00961353" w:rsidRPr="00781608" w:rsidRDefault="00A56DF7" w:rsidP="00E85684">
      <w:pPr>
        <w:pStyle w:val="ydp360db5b4yiv6248630976msolistparagraph"/>
        <w:numPr>
          <w:ilvl w:val="1"/>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 xml:space="preserve">Reconcile the category-wise Revenue with the Revenue submitted to Government of Gujarat for purposes of Electricity </w:t>
      </w:r>
      <w:proofErr w:type="gramStart"/>
      <w:r w:rsidRPr="00781608">
        <w:rPr>
          <w:rFonts w:asciiTheme="minorHAnsi" w:eastAsia="Times New Roman" w:hAnsiTheme="minorHAnsi" w:cstheme="minorHAnsi"/>
          <w:sz w:val="24"/>
          <w:szCs w:val="24"/>
        </w:rPr>
        <w:t>Duty;</w:t>
      </w:r>
      <w:proofErr w:type="gramEnd"/>
    </w:p>
    <w:p w14:paraId="0927655C" w14:textId="58B53CB8" w:rsidR="001B6F45" w:rsidRPr="00781608" w:rsidRDefault="001B6F45" w:rsidP="001B6F45">
      <w:pPr>
        <w:pStyle w:val="ListParagraph"/>
        <w:ind w:left="1440"/>
        <w:jc w:val="both"/>
        <w:rPr>
          <w:rFonts w:asciiTheme="minorHAnsi" w:eastAsia="Times New Roman" w:hAnsiTheme="minorHAnsi" w:cstheme="minorHAnsi"/>
          <w:sz w:val="24"/>
          <w:szCs w:val="24"/>
        </w:rPr>
      </w:pPr>
      <w:r w:rsidRPr="00781608">
        <w:rPr>
          <w:rFonts w:asciiTheme="minorHAnsi" w:eastAsia="Times New Roman" w:hAnsiTheme="minorHAnsi" w:cstheme="minorHAnsi"/>
          <w:b/>
          <w:bCs/>
          <w:sz w:val="24"/>
          <w:szCs w:val="24"/>
        </w:rPr>
        <w:t xml:space="preserve">Compliance: </w:t>
      </w:r>
      <w:bookmarkStart w:id="9" w:name="_Hlk93156202"/>
      <w:r w:rsidR="00893217" w:rsidRPr="00781608">
        <w:rPr>
          <w:rFonts w:asciiTheme="minorHAnsi" w:eastAsia="Times New Roman" w:hAnsiTheme="minorHAnsi" w:cstheme="minorHAnsi"/>
          <w:sz w:val="24"/>
          <w:szCs w:val="24"/>
        </w:rPr>
        <w:t xml:space="preserve">Month wise copy of the ED return for the FY 2020-21 is attached herewith as Annexure - </w:t>
      </w:r>
      <w:r w:rsidR="00483BB1">
        <w:rPr>
          <w:rFonts w:asciiTheme="minorHAnsi" w:eastAsia="Times New Roman" w:hAnsiTheme="minorHAnsi" w:cstheme="minorHAnsi"/>
          <w:sz w:val="24"/>
          <w:szCs w:val="24"/>
        </w:rPr>
        <w:t>E</w:t>
      </w:r>
      <w:r w:rsidR="00893217" w:rsidRPr="00781608">
        <w:rPr>
          <w:rFonts w:asciiTheme="minorHAnsi" w:eastAsia="Times New Roman" w:hAnsiTheme="minorHAnsi" w:cstheme="minorHAnsi"/>
          <w:sz w:val="24"/>
          <w:szCs w:val="24"/>
        </w:rPr>
        <w:t>.</w:t>
      </w:r>
      <w:bookmarkEnd w:id="9"/>
    </w:p>
    <w:p w14:paraId="10C350DC" w14:textId="77777777" w:rsidR="000F6EE8" w:rsidRPr="00781608" w:rsidRDefault="000F6EE8" w:rsidP="001B6F45">
      <w:pPr>
        <w:pStyle w:val="ListParagraph"/>
        <w:ind w:left="1440"/>
        <w:jc w:val="both"/>
        <w:rPr>
          <w:rFonts w:asciiTheme="minorHAnsi" w:eastAsia="Times New Roman" w:hAnsiTheme="minorHAnsi" w:cstheme="minorHAnsi"/>
          <w:sz w:val="24"/>
          <w:szCs w:val="24"/>
        </w:rPr>
      </w:pPr>
    </w:p>
    <w:p w14:paraId="47684294" w14:textId="77777777" w:rsidR="00961353" w:rsidRPr="00547830" w:rsidRDefault="00A56DF7" w:rsidP="00E85684">
      <w:pPr>
        <w:pStyle w:val="ydp360db5b4yiv6248630976msolistparagraph"/>
        <w:numPr>
          <w:ilvl w:val="1"/>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 xml:space="preserve">Copies of </w:t>
      </w:r>
      <w:proofErr w:type="spellStart"/>
      <w:r w:rsidRPr="00781608">
        <w:rPr>
          <w:rFonts w:asciiTheme="minorHAnsi" w:eastAsia="Times New Roman" w:hAnsiTheme="minorHAnsi" w:cstheme="minorHAnsi"/>
          <w:sz w:val="24"/>
          <w:szCs w:val="24"/>
        </w:rPr>
        <w:t>GoG</w:t>
      </w:r>
      <w:proofErr w:type="spellEnd"/>
      <w:r w:rsidRPr="00781608">
        <w:rPr>
          <w:rFonts w:asciiTheme="minorHAnsi" w:eastAsia="Times New Roman" w:hAnsiTheme="minorHAnsi" w:cstheme="minorHAnsi"/>
          <w:sz w:val="24"/>
          <w:szCs w:val="24"/>
        </w:rPr>
        <w:t xml:space="preserve"> </w:t>
      </w:r>
      <w:r w:rsidRPr="00547830">
        <w:rPr>
          <w:rFonts w:asciiTheme="minorHAnsi" w:eastAsia="Times New Roman" w:hAnsiTheme="minorHAnsi" w:cstheme="minorHAnsi"/>
          <w:sz w:val="24"/>
          <w:szCs w:val="24"/>
        </w:rPr>
        <w:t xml:space="preserve">GR towards Agriculture Subsidy </w:t>
      </w:r>
      <w:proofErr w:type="gramStart"/>
      <w:r w:rsidRPr="00547830">
        <w:rPr>
          <w:rFonts w:asciiTheme="minorHAnsi" w:eastAsia="Times New Roman" w:hAnsiTheme="minorHAnsi" w:cstheme="minorHAnsi"/>
          <w:sz w:val="24"/>
          <w:szCs w:val="24"/>
        </w:rPr>
        <w:t>commitment;</w:t>
      </w:r>
      <w:proofErr w:type="gramEnd"/>
    </w:p>
    <w:p w14:paraId="7ECD82D0" w14:textId="5130F4D3" w:rsidR="00893217" w:rsidRPr="00781608" w:rsidRDefault="00893217" w:rsidP="00893217">
      <w:pPr>
        <w:pStyle w:val="ListParagraph"/>
        <w:ind w:left="1440"/>
        <w:jc w:val="both"/>
        <w:rPr>
          <w:rFonts w:asciiTheme="minorHAnsi" w:eastAsia="Times New Roman" w:hAnsiTheme="minorHAnsi" w:cstheme="minorHAnsi"/>
          <w:sz w:val="24"/>
          <w:szCs w:val="24"/>
        </w:rPr>
      </w:pPr>
      <w:bookmarkStart w:id="10" w:name="_Hlk93156213"/>
      <w:r w:rsidRPr="00547830">
        <w:rPr>
          <w:rFonts w:asciiTheme="minorHAnsi" w:eastAsia="Times New Roman" w:hAnsiTheme="minorHAnsi" w:cstheme="minorHAnsi"/>
          <w:b/>
          <w:bCs/>
          <w:sz w:val="24"/>
          <w:szCs w:val="24"/>
        </w:rPr>
        <w:t xml:space="preserve">Compliance: </w:t>
      </w:r>
      <w:r w:rsidR="00A55237" w:rsidRPr="00547830">
        <w:rPr>
          <w:rFonts w:asciiTheme="minorHAnsi" w:eastAsia="Times New Roman" w:hAnsiTheme="minorHAnsi" w:cstheme="minorHAnsi"/>
          <w:sz w:val="24"/>
          <w:szCs w:val="24"/>
        </w:rPr>
        <w:t xml:space="preserve">Copies of </w:t>
      </w:r>
      <w:proofErr w:type="spellStart"/>
      <w:r w:rsidR="00A55237" w:rsidRPr="00547830">
        <w:rPr>
          <w:rFonts w:asciiTheme="minorHAnsi" w:eastAsia="Times New Roman" w:hAnsiTheme="minorHAnsi" w:cstheme="minorHAnsi"/>
          <w:sz w:val="24"/>
          <w:szCs w:val="24"/>
        </w:rPr>
        <w:t>GoG</w:t>
      </w:r>
      <w:proofErr w:type="spellEnd"/>
      <w:r w:rsidR="00A55237" w:rsidRPr="00547830">
        <w:rPr>
          <w:rFonts w:asciiTheme="minorHAnsi" w:eastAsia="Times New Roman" w:hAnsiTheme="minorHAnsi" w:cstheme="minorHAnsi"/>
          <w:sz w:val="24"/>
          <w:szCs w:val="24"/>
        </w:rPr>
        <w:t xml:space="preserve"> GR towards Agriculture Subsidy commitment are</w:t>
      </w:r>
      <w:r w:rsidRPr="00547830">
        <w:rPr>
          <w:rFonts w:asciiTheme="minorHAnsi" w:eastAsia="Times New Roman" w:hAnsiTheme="minorHAnsi" w:cstheme="minorHAnsi"/>
          <w:sz w:val="24"/>
          <w:szCs w:val="24"/>
        </w:rPr>
        <w:t xml:space="preserve"> attached herewith as Annexure </w:t>
      </w:r>
      <w:r w:rsidR="006A2F70" w:rsidRPr="00547830">
        <w:rPr>
          <w:rFonts w:asciiTheme="minorHAnsi" w:eastAsia="Times New Roman" w:hAnsiTheme="minorHAnsi" w:cstheme="minorHAnsi"/>
          <w:sz w:val="24"/>
          <w:szCs w:val="24"/>
        </w:rPr>
        <w:t xml:space="preserve">GU </w:t>
      </w:r>
      <w:r w:rsidRPr="00547830">
        <w:rPr>
          <w:rFonts w:asciiTheme="minorHAnsi" w:eastAsia="Times New Roman" w:hAnsiTheme="minorHAnsi" w:cstheme="minorHAnsi"/>
          <w:sz w:val="24"/>
          <w:szCs w:val="24"/>
        </w:rPr>
        <w:t xml:space="preserve">- </w:t>
      </w:r>
      <w:r w:rsidR="006A2F70" w:rsidRPr="00547830">
        <w:rPr>
          <w:rFonts w:asciiTheme="minorHAnsi" w:eastAsia="Times New Roman" w:hAnsiTheme="minorHAnsi" w:cstheme="minorHAnsi"/>
          <w:sz w:val="24"/>
          <w:szCs w:val="24"/>
        </w:rPr>
        <w:t>4</w:t>
      </w:r>
      <w:r w:rsidRPr="00547830">
        <w:rPr>
          <w:rFonts w:asciiTheme="minorHAnsi" w:eastAsia="Times New Roman" w:hAnsiTheme="minorHAnsi" w:cstheme="minorHAnsi"/>
          <w:sz w:val="24"/>
          <w:szCs w:val="24"/>
        </w:rPr>
        <w:t>.</w:t>
      </w:r>
    </w:p>
    <w:bookmarkEnd w:id="10"/>
    <w:p w14:paraId="09D883C8" w14:textId="77777777" w:rsidR="00A55237" w:rsidRPr="00781608" w:rsidRDefault="00A55237" w:rsidP="00893217">
      <w:pPr>
        <w:pStyle w:val="ListParagraph"/>
        <w:ind w:left="1440"/>
        <w:jc w:val="both"/>
        <w:rPr>
          <w:rFonts w:asciiTheme="minorHAnsi" w:eastAsia="Times New Roman" w:hAnsiTheme="minorHAnsi" w:cstheme="minorHAnsi"/>
          <w:sz w:val="24"/>
          <w:szCs w:val="24"/>
        </w:rPr>
      </w:pPr>
    </w:p>
    <w:p w14:paraId="71078E48" w14:textId="77777777" w:rsidR="00961353" w:rsidRPr="00781608" w:rsidRDefault="00A56DF7" w:rsidP="00A55237">
      <w:pPr>
        <w:pStyle w:val="ydp360db5b4yiv6248630976msolistparagraph"/>
        <w:numPr>
          <w:ilvl w:val="1"/>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 xml:space="preserve">Actual agricultural subsidy received DISCOM-wise against the committed </w:t>
      </w:r>
      <w:proofErr w:type="gramStart"/>
      <w:r w:rsidRPr="00781608">
        <w:rPr>
          <w:rFonts w:asciiTheme="minorHAnsi" w:eastAsia="Times New Roman" w:hAnsiTheme="minorHAnsi" w:cstheme="minorHAnsi"/>
          <w:sz w:val="24"/>
          <w:szCs w:val="24"/>
        </w:rPr>
        <w:t>subsidy;</w:t>
      </w:r>
      <w:proofErr w:type="gramEnd"/>
    </w:p>
    <w:p w14:paraId="49EA490E" w14:textId="77777777" w:rsidR="0067054B" w:rsidRPr="00781608" w:rsidRDefault="0067054B" w:rsidP="0067054B">
      <w:pPr>
        <w:pStyle w:val="ListParagraph"/>
        <w:spacing w:line="276" w:lineRule="auto"/>
        <w:ind w:firstLine="720"/>
        <w:jc w:val="both"/>
        <w:rPr>
          <w:rFonts w:asciiTheme="minorHAnsi" w:eastAsia="Times New Roman" w:hAnsiTheme="minorHAnsi" w:cstheme="minorHAnsi"/>
          <w:b/>
          <w:bCs/>
          <w:sz w:val="24"/>
          <w:szCs w:val="24"/>
        </w:rPr>
      </w:pPr>
      <w:bookmarkStart w:id="11" w:name="_Hlk93156231"/>
      <w:r w:rsidRPr="00781608">
        <w:rPr>
          <w:rFonts w:asciiTheme="minorHAnsi" w:eastAsia="Times New Roman" w:hAnsiTheme="minorHAnsi" w:cstheme="minorHAnsi"/>
          <w:b/>
          <w:bCs/>
          <w:sz w:val="24"/>
          <w:szCs w:val="24"/>
        </w:rPr>
        <w:t xml:space="preserve">Compliance: </w:t>
      </w:r>
    </w:p>
    <w:tbl>
      <w:tblPr>
        <w:tblW w:w="7767"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1585"/>
        <w:gridCol w:w="1823"/>
        <w:gridCol w:w="2478"/>
      </w:tblGrid>
      <w:tr w:rsidR="006A2F70" w:rsidRPr="00781608" w14:paraId="118C5A0D" w14:textId="7C12EA61" w:rsidTr="006A2F70">
        <w:trPr>
          <w:trHeight w:val="300"/>
          <w:tblHeader/>
        </w:trPr>
        <w:tc>
          <w:tcPr>
            <w:tcW w:w="1881" w:type="dxa"/>
            <w:shd w:val="clear" w:color="000000" w:fill="DDEBF7"/>
            <w:noWrap/>
            <w:hideMark/>
          </w:tcPr>
          <w:p w14:paraId="3C018351" w14:textId="77777777" w:rsidR="006A2F70" w:rsidRPr="00781608" w:rsidRDefault="006A2F70" w:rsidP="001E7990">
            <w:pPr>
              <w:spacing w:line="276" w:lineRule="auto"/>
              <w:jc w:val="center"/>
              <w:rPr>
                <w:rFonts w:asciiTheme="minorHAnsi" w:eastAsia="Times New Roman" w:hAnsiTheme="minorHAnsi" w:cstheme="minorHAnsi"/>
                <w:b/>
                <w:bCs/>
              </w:rPr>
            </w:pPr>
            <w:r w:rsidRPr="00781608">
              <w:rPr>
                <w:rFonts w:asciiTheme="minorHAnsi" w:eastAsia="Times New Roman" w:hAnsiTheme="minorHAnsi" w:cstheme="minorHAnsi"/>
                <w:b/>
                <w:bCs/>
              </w:rPr>
              <w:t>Particular</w:t>
            </w:r>
          </w:p>
        </w:tc>
        <w:tc>
          <w:tcPr>
            <w:tcW w:w="1585" w:type="dxa"/>
            <w:shd w:val="clear" w:color="000000" w:fill="DDEBF7"/>
            <w:hideMark/>
          </w:tcPr>
          <w:p w14:paraId="21177D1D" w14:textId="77777777" w:rsidR="006A2F70" w:rsidRPr="00781608" w:rsidRDefault="006A2F70" w:rsidP="001E7990">
            <w:pPr>
              <w:spacing w:line="276" w:lineRule="auto"/>
              <w:jc w:val="center"/>
              <w:rPr>
                <w:rFonts w:asciiTheme="minorHAnsi" w:hAnsiTheme="minorHAnsi" w:cstheme="minorHAnsi"/>
                <w:b/>
                <w:bCs/>
              </w:rPr>
            </w:pPr>
            <w:r w:rsidRPr="00781608">
              <w:rPr>
                <w:rFonts w:asciiTheme="minorHAnsi" w:hAnsiTheme="minorHAnsi" w:cstheme="minorHAnsi"/>
                <w:b/>
                <w:bCs/>
              </w:rPr>
              <w:t>Claim amount (Rs. Crore)</w:t>
            </w:r>
          </w:p>
        </w:tc>
        <w:tc>
          <w:tcPr>
            <w:tcW w:w="1823" w:type="dxa"/>
            <w:shd w:val="clear" w:color="000000" w:fill="DDEBF7"/>
          </w:tcPr>
          <w:p w14:paraId="1D278E57" w14:textId="1F05B4D0" w:rsidR="006A2F70" w:rsidRPr="00781608" w:rsidRDefault="006A2F70" w:rsidP="001E7990">
            <w:pPr>
              <w:spacing w:line="276" w:lineRule="auto"/>
              <w:jc w:val="center"/>
              <w:rPr>
                <w:rFonts w:asciiTheme="minorHAnsi" w:hAnsiTheme="minorHAnsi" w:cstheme="minorHAnsi"/>
                <w:b/>
                <w:bCs/>
              </w:rPr>
            </w:pPr>
            <w:r w:rsidRPr="00781608">
              <w:rPr>
                <w:rFonts w:asciiTheme="minorHAnsi" w:hAnsiTheme="minorHAnsi" w:cstheme="minorHAnsi"/>
                <w:b/>
                <w:bCs/>
              </w:rPr>
              <w:t>Subsidy received for FY 2020-21 (Rs. Crore)</w:t>
            </w:r>
          </w:p>
        </w:tc>
        <w:tc>
          <w:tcPr>
            <w:tcW w:w="2478" w:type="dxa"/>
            <w:shd w:val="clear" w:color="000000" w:fill="DDEBF7"/>
          </w:tcPr>
          <w:p w14:paraId="7CB68A9D" w14:textId="09C7C7F1" w:rsidR="006A2F70" w:rsidRPr="00781608" w:rsidRDefault="006A2F70" w:rsidP="001E7990">
            <w:pPr>
              <w:spacing w:line="276" w:lineRule="auto"/>
              <w:jc w:val="center"/>
              <w:rPr>
                <w:rFonts w:asciiTheme="minorHAnsi" w:hAnsiTheme="minorHAnsi" w:cstheme="minorHAnsi"/>
                <w:b/>
                <w:bCs/>
              </w:rPr>
            </w:pPr>
            <w:r w:rsidRPr="00781608">
              <w:rPr>
                <w:rFonts w:asciiTheme="minorHAnsi" w:hAnsiTheme="minorHAnsi" w:cstheme="minorHAnsi"/>
                <w:b/>
                <w:bCs/>
              </w:rPr>
              <w:t>Subsidy received towards past period outstanding (Rs. Crore)</w:t>
            </w:r>
          </w:p>
        </w:tc>
      </w:tr>
      <w:tr w:rsidR="006A2F70" w:rsidRPr="00781608" w14:paraId="36DFD329" w14:textId="01F0A126" w:rsidTr="006A2F70">
        <w:trPr>
          <w:trHeight w:val="300"/>
        </w:trPr>
        <w:tc>
          <w:tcPr>
            <w:tcW w:w="1881" w:type="dxa"/>
            <w:shd w:val="clear" w:color="auto" w:fill="auto"/>
            <w:hideMark/>
          </w:tcPr>
          <w:p w14:paraId="50677246" w14:textId="77777777" w:rsidR="006A2F70" w:rsidRPr="00781608" w:rsidRDefault="006A2F70" w:rsidP="006A2F70">
            <w:pPr>
              <w:spacing w:line="276" w:lineRule="auto"/>
              <w:rPr>
                <w:rFonts w:asciiTheme="minorHAnsi" w:eastAsia="Times New Roman" w:hAnsiTheme="minorHAnsi" w:cstheme="minorHAnsi"/>
              </w:rPr>
            </w:pPr>
            <w:r w:rsidRPr="00781608">
              <w:rPr>
                <w:rFonts w:asciiTheme="minorHAnsi" w:hAnsiTheme="minorHAnsi" w:cstheme="minorHAnsi"/>
              </w:rPr>
              <w:t>Tariff Subsidy</w:t>
            </w:r>
          </w:p>
        </w:tc>
        <w:tc>
          <w:tcPr>
            <w:tcW w:w="1585" w:type="dxa"/>
            <w:shd w:val="clear" w:color="auto" w:fill="auto"/>
            <w:noWrap/>
          </w:tcPr>
          <w:p w14:paraId="2B97C132" w14:textId="606404E5" w:rsidR="006A2F70" w:rsidRPr="00781608" w:rsidRDefault="006A2F70" w:rsidP="006A2F70">
            <w:pPr>
              <w:spacing w:line="276" w:lineRule="auto"/>
              <w:jc w:val="right"/>
              <w:rPr>
                <w:rFonts w:asciiTheme="minorHAnsi" w:eastAsia="Times New Roman" w:hAnsiTheme="minorHAnsi" w:cstheme="minorHAnsi"/>
              </w:rPr>
            </w:pPr>
            <w:r w:rsidRPr="00781608">
              <w:rPr>
                <w:rFonts w:asciiTheme="minorHAnsi" w:hAnsiTheme="minorHAnsi" w:cstheme="minorHAnsi"/>
              </w:rPr>
              <w:t>1245.57</w:t>
            </w:r>
          </w:p>
        </w:tc>
        <w:tc>
          <w:tcPr>
            <w:tcW w:w="1823" w:type="dxa"/>
          </w:tcPr>
          <w:p w14:paraId="77DB65DD" w14:textId="7EE8123C" w:rsidR="006A2F70" w:rsidRPr="00781608" w:rsidRDefault="006A2F70" w:rsidP="006A2F70">
            <w:pPr>
              <w:spacing w:line="276" w:lineRule="auto"/>
              <w:jc w:val="right"/>
              <w:rPr>
                <w:rFonts w:asciiTheme="minorHAnsi" w:hAnsiTheme="minorHAnsi" w:cstheme="minorHAnsi"/>
              </w:rPr>
            </w:pPr>
            <w:r w:rsidRPr="00781608">
              <w:rPr>
                <w:rFonts w:asciiTheme="minorHAnsi" w:hAnsiTheme="minorHAnsi" w:cstheme="minorHAnsi"/>
              </w:rPr>
              <w:t>1245.57</w:t>
            </w:r>
          </w:p>
        </w:tc>
        <w:tc>
          <w:tcPr>
            <w:tcW w:w="2478" w:type="dxa"/>
          </w:tcPr>
          <w:p w14:paraId="0762E8E1" w14:textId="28109231" w:rsidR="006A2F70" w:rsidRPr="00781608" w:rsidRDefault="006A2F70" w:rsidP="006A2F70">
            <w:pPr>
              <w:spacing w:line="276" w:lineRule="auto"/>
              <w:jc w:val="right"/>
              <w:rPr>
                <w:rFonts w:asciiTheme="minorHAnsi" w:hAnsiTheme="minorHAnsi" w:cstheme="minorHAnsi"/>
              </w:rPr>
            </w:pPr>
            <w:r w:rsidRPr="00781608">
              <w:rPr>
                <w:rFonts w:asciiTheme="minorHAnsi" w:hAnsiTheme="minorHAnsi" w:cstheme="minorHAnsi"/>
              </w:rPr>
              <w:t>639.13</w:t>
            </w:r>
          </w:p>
        </w:tc>
      </w:tr>
      <w:tr w:rsidR="006A2F70" w:rsidRPr="00781608" w14:paraId="247137D5" w14:textId="788CAA72" w:rsidTr="006A2F70">
        <w:trPr>
          <w:trHeight w:val="300"/>
        </w:trPr>
        <w:tc>
          <w:tcPr>
            <w:tcW w:w="1881" w:type="dxa"/>
            <w:shd w:val="clear" w:color="auto" w:fill="auto"/>
            <w:hideMark/>
          </w:tcPr>
          <w:p w14:paraId="43B499BF" w14:textId="77777777" w:rsidR="006A2F70" w:rsidRPr="00781608" w:rsidRDefault="006A2F70" w:rsidP="006A2F70">
            <w:pPr>
              <w:spacing w:line="276" w:lineRule="auto"/>
              <w:rPr>
                <w:rFonts w:asciiTheme="minorHAnsi" w:eastAsia="Times New Roman" w:hAnsiTheme="minorHAnsi" w:cstheme="minorHAnsi"/>
              </w:rPr>
            </w:pPr>
            <w:r w:rsidRPr="00781608">
              <w:rPr>
                <w:rFonts w:asciiTheme="minorHAnsi" w:hAnsiTheme="minorHAnsi" w:cstheme="minorHAnsi"/>
              </w:rPr>
              <w:t>FPPPA Subsidy</w:t>
            </w:r>
          </w:p>
        </w:tc>
        <w:tc>
          <w:tcPr>
            <w:tcW w:w="1585" w:type="dxa"/>
            <w:shd w:val="clear" w:color="auto" w:fill="auto"/>
            <w:noWrap/>
          </w:tcPr>
          <w:p w14:paraId="027B03AA" w14:textId="0CA275E1" w:rsidR="006A2F70" w:rsidRPr="00781608" w:rsidRDefault="006A2F70" w:rsidP="006A2F70">
            <w:pPr>
              <w:spacing w:line="276" w:lineRule="auto"/>
              <w:jc w:val="right"/>
              <w:rPr>
                <w:rFonts w:asciiTheme="minorHAnsi" w:eastAsia="Times New Roman" w:hAnsiTheme="minorHAnsi" w:cstheme="minorHAnsi"/>
              </w:rPr>
            </w:pPr>
            <w:r w:rsidRPr="00781608">
              <w:rPr>
                <w:rFonts w:asciiTheme="minorHAnsi" w:hAnsiTheme="minorHAnsi" w:cstheme="minorHAnsi"/>
              </w:rPr>
              <w:t>3755.59</w:t>
            </w:r>
          </w:p>
        </w:tc>
        <w:tc>
          <w:tcPr>
            <w:tcW w:w="1823" w:type="dxa"/>
          </w:tcPr>
          <w:p w14:paraId="44484AFA" w14:textId="054A1117" w:rsidR="006A2F70" w:rsidRPr="00781608" w:rsidRDefault="006A2F70" w:rsidP="006A2F70">
            <w:pPr>
              <w:spacing w:line="276" w:lineRule="auto"/>
              <w:jc w:val="right"/>
              <w:rPr>
                <w:rFonts w:asciiTheme="minorHAnsi" w:eastAsia="Times New Roman" w:hAnsiTheme="minorHAnsi" w:cstheme="minorHAnsi"/>
              </w:rPr>
            </w:pPr>
            <w:r w:rsidRPr="00781608">
              <w:rPr>
                <w:rFonts w:asciiTheme="minorHAnsi" w:hAnsiTheme="minorHAnsi" w:cstheme="minorHAnsi"/>
              </w:rPr>
              <w:t>3755.59</w:t>
            </w:r>
          </w:p>
        </w:tc>
        <w:tc>
          <w:tcPr>
            <w:tcW w:w="2478" w:type="dxa"/>
          </w:tcPr>
          <w:p w14:paraId="4773DCC7" w14:textId="057E3FA7" w:rsidR="006A2F70" w:rsidRPr="00781608" w:rsidRDefault="006A2F70" w:rsidP="006A2F70">
            <w:pPr>
              <w:spacing w:line="276" w:lineRule="auto"/>
              <w:jc w:val="right"/>
              <w:rPr>
                <w:rFonts w:asciiTheme="minorHAnsi" w:hAnsiTheme="minorHAnsi" w:cstheme="minorHAnsi"/>
              </w:rPr>
            </w:pPr>
            <w:r w:rsidRPr="00781608">
              <w:rPr>
                <w:rFonts w:asciiTheme="minorHAnsi" w:hAnsiTheme="minorHAnsi" w:cstheme="minorHAnsi"/>
              </w:rPr>
              <w:t>674.46</w:t>
            </w:r>
          </w:p>
        </w:tc>
      </w:tr>
      <w:tr w:rsidR="006A2F70" w:rsidRPr="00781608" w14:paraId="2B9EE462" w14:textId="42E99549" w:rsidTr="006A2F70">
        <w:trPr>
          <w:trHeight w:val="300"/>
        </w:trPr>
        <w:tc>
          <w:tcPr>
            <w:tcW w:w="1881" w:type="dxa"/>
            <w:shd w:val="clear" w:color="auto" w:fill="auto"/>
          </w:tcPr>
          <w:p w14:paraId="2677BD26" w14:textId="77777777" w:rsidR="006A2F70" w:rsidRPr="00781608" w:rsidRDefault="006A2F70" w:rsidP="006A2F70">
            <w:pPr>
              <w:spacing w:line="276" w:lineRule="auto"/>
              <w:rPr>
                <w:rFonts w:asciiTheme="minorHAnsi" w:eastAsia="Times New Roman" w:hAnsiTheme="minorHAnsi" w:cstheme="minorHAnsi"/>
              </w:rPr>
            </w:pPr>
            <w:r w:rsidRPr="00781608">
              <w:rPr>
                <w:rFonts w:asciiTheme="minorHAnsi" w:hAnsiTheme="minorHAnsi" w:cstheme="minorHAnsi"/>
              </w:rPr>
              <w:t>HP Based subsidy</w:t>
            </w:r>
          </w:p>
        </w:tc>
        <w:tc>
          <w:tcPr>
            <w:tcW w:w="1585" w:type="dxa"/>
            <w:shd w:val="clear" w:color="auto" w:fill="auto"/>
            <w:noWrap/>
          </w:tcPr>
          <w:p w14:paraId="5AA01B51" w14:textId="18ABF31B" w:rsidR="006A2F70" w:rsidRPr="00781608" w:rsidRDefault="006A2F70" w:rsidP="006A2F70">
            <w:pPr>
              <w:spacing w:line="276" w:lineRule="auto"/>
              <w:jc w:val="right"/>
              <w:rPr>
                <w:rFonts w:asciiTheme="minorHAnsi" w:eastAsia="Times New Roman" w:hAnsiTheme="minorHAnsi" w:cstheme="minorHAnsi"/>
              </w:rPr>
            </w:pPr>
            <w:r w:rsidRPr="00781608">
              <w:rPr>
                <w:rFonts w:asciiTheme="minorHAnsi" w:hAnsiTheme="minorHAnsi" w:cstheme="minorHAnsi"/>
              </w:rPr>
              <w:t>1100.00</w:t>
            </w:r>
          </w:p>
        </w:tc>
        <w:tc>
          <w:tcPr>
            <w:tcW w:w="1823" w:type="dxa"/>
          </w:tcPr>
          <w:p w14:paraId="4B44DB53" w14:textId="0C124322" w:rsidR="006A2F70" w:rsidRPr="00781608" w:rsidRDefault="006A2F70" w:rsidP="006A2F70">
            <w:pPr>
              <w:spacing w:line="276" w:lineRule="auto"/>
              <w:jc w:val="right"/>
              <w:rPr>
                <w:rFonts w:asciiTheme="minorHAnsi" w:eastAsia="Times New Roman" w:hAnsiTheme="minorHAnsi" w:cstheme="minorHAnsi"/>
              </w:rPr>
            </w:pPr>
            <w:r w:rsidRPr="00781608">
              <w:rPr>
                <w:rFonts w:asciiTheme="minorHAnsi" w:hAnsiTheme="minorHAnsi" w:cstheme="minorHAnsi"/>
              </w:rPr>
              <w:t>1100.00</w:t>
            </w:r>
          </w:p>
        </w:tc>
        <w:tc>
          <w:tcPr>
            <w:tcW w:w="2478" w:type="dxa"/>
          </w:tcPr>
          <w:p w14:paraId="1610E6F1" w14:textId="33A62826" w:rsidR="006A2F70" w:rsidRPr="00781608" w:rsidRDefault="006A2F70" w:rsidP="006A2F70">
            <w:pPr>
              <w:spacing w:line="276" w:lineRule="auto"/>
              <w:jc w:val="right"/>
              <w:rPr>
                <w:rFonts w:asciiTheme="minorHAnsi" w:hAnsiTheme="minorHAnsi" w:cstheme="minorHAnsi"/>
              </w:rPr>
            </w:pPr>
            <w:r w:rsidRPr="00781608">
              <w:rPr>
                <w:rFonts w:asciiTheme="minorHAnsi" w:hAnsiTheme="minorHAnsi" w:cstheme="minorHAnsi"/>
              </w:rPr>
              <w:t>91.67</w:t>
            </w:r>
          </w:p>
        </w:tc>
      </w:tr>
      <w:tr w:rsidR="006A2F70" w:rsidRPr="00781608" w14:paraId="04918828" w14:textId="217861BA" w:rsidTr="006A2F70">
        <w:trPr>
          <w:trHeight w:val="300"/>
        </w:trPr>
        <w:tc>
          <w:tcPr>
            <w:tcW w:w="1881" w:type="dxa"/>
            <w:shd w:val="clear" w:color="auto" w:fill="auto"/>
          </w:tcPr>
          <w:p w14:paraId="09AC464B" w14:textId="77777777" w:rsidR="006A2F70" w:rsidRPr="00781608" w:rsidRDefault="006A2F70" w:rsidP="006A2F70">
            <w:pPr>
              <w:spacing w:line="276" w:lineRule="auto"/>
              <w:rPr>
                <w:rFonts w:asciiTheme="minorHAnsi" w:eastAsia="Times New Roman" w:hAnsiTheme="minorHAnsi" w:cstheme="minorHAnsi"/>
                <w:b/>
                <w:bCs/>
              </w:rPr>
            </w:pPr>
            <w:r w:rsidRPr="00781608">
              <w:rPr>
                <w:rFonts w:asciiTheme="minorHAnsi" w:hAnsiTheme="minorHAnsi" w:cstheme="minorHAnsi"/>
                <w:b/>
                <w:bCs/>
              </w:rPr>
              <w:t>Total</w:t>
            </w:r>
          </w:p>
        </w:tc>
        <w:tc>
          <w:tcPr>
            <w:tcW w:w="1585" w:type="dxa"/>
            <w:shd w:val="clear" w:color="auto" w:fill="auto"/>
            <w:noWrap/>
          </w:tcPr>
          <w:p w14:paraId="311151B0" w14:textId="40AFC790" w:rsidR="006A2F70" w:rsidRPr="00781608" w:rsidRDefault="006A2F70" w:rsidP="006A2F70">
            <w:pPr>
              <w:spacing w:line="276" w:lineRule="auto"/>
              <w:jc w:val="right"/>
              <w:rPr>
                <w:rFonts w:asciiTheme="minorHAnsi" w:eastAsia="Times New Roman" w:hAnsiTheme="minorHAnsi" w:cstheme="minorHAnsi"/>
                <w:b/>
                <w:bCs/>
              </w:rPr>
            </w:pPr>
            <w:r w:rsidRPr="00781608">
              <w:rPr>
                <w:rFonts w:asciiTheme="minorHAnsi" w:hAnsiTheme="minorHAnsi" w:cstheme="minorHAnsi"/>
                <w:b/>
                <w:bCs/>
              </w:rPr>
              <w:t>6101.16</w:t>
            </w:r>
          </w:p>
        </w:tc>
        <w:tc>
          <w:tcPr>
            <w:tcW w:w="1823" w:type="dxa"/>
          </w:tcPr>
          <w:p w14:paraId="00778763" w14:textId="1E15C4FA" w:rsidR="006A2F70" w:rsidRPr="00781608" w:rsidRDefault="006A2F70" w:rsidP="006A2F70">
            <w:pPr>
              <w:spacing w:line="276" w:lineRule="auto"/>
              <w:jc w:val="right"/>
              <w:rPr>
                <w:rFonts w:asciiTheme="minorHAnsi" w:eastAsia="Times New Roman" w:hAnsiTheme="minorHAnsi" w:cstheme="minorHAnsi"/>
                <w:b/>
                <w:bCs/>
              </w:rPr>
            </w:pPr>
            <w:r w:rsidRPr="00781608">
              <w:rPr>
                <w:rFonts w:asciiTheme="minorHAnsi" w:hAnsiTheme="minorHAnsi" w:cstheme="minorHAnsi"/>
                <w:b/>
                <w:bCs/>
              </w:rPr>
              <w:t>6101.16</w:t>
            </w:r>
          </w:p>
        </w:tc>
        <w:tc>
          <w:tcPr>
            <w:tcW w:w="2478" w:type="dxa"/>
          </w:tcPr>
          <w:p w14:paraId="2249DC90" w14:textId="443271A1" w:rsidR="006A2F70" w:rsidRPr="00781608" w:rsidRDefault="006A2F70" w:rsidP="006A2F70">
            <w:pPr>
              <w:spacing w:line="276" w:lineRule="auto"/>
              <w:jc w:val="right"/>
              <w:rPr>
                <w:rFonts w:asciiTheme="minorHAnsi" w:hAnsiTheme="minorHAnsi" w:cstheme="minorHAnsi"/>
                <w:b/>
                <w:bCs/>
              </w:rPr>
            </w:pPr>
            <w:r w:rsidRPr="00781608">
              <w:rPr>
                <w:rFonts w:asciiTheme="minorHAnsi" w:hAnsiTheme="minorHAnsi" w:cstheme="minorHAnsi"/>
                <w:b/>
                <w:bCs/>
              </w:rPr>
              <w:t>1405.26</w:t>
            </w:r>
          </w:p>
        </w:tc>
      </w:tr>
      <w:bookmarkEnd w:id="11"/>
    </w:tbl>
    <w:p w14:paraId="5E2119EF" w14:textId="77777777" w:rsidR="0067054B" w:rsidRPr="00781608" w:rsidRDefault="0067054B" w:rsidP="0067054B">
      <w:pPr>
        <w:pStyle w:val="ydp360db5b4yiv6248630976msolistparagraph"/>
        <w:spacing w:beforeAutospacing="0" w:after="200" w:afterAutospacing="0" w:line="276" w:lineRule="auto"/>
        <w:ind w:left="1440"/>
        <w:jc w:val="both"/>
        <w:rPr>
          <w:rFonts w:asciiTheme="minorHAnsi" w:eastAsia="Times New Roman" w:hAnsiTheme="minorHAnsi" w:cstheme="minorHAnsi"/>
          <w:sz w:val="24"/>
          <w:szCs w:val="24"/>
        </w:rPr>
      </w:pPr>
    </w:p>
    <w:p w14:paraId="36ECBC07" w14:textId="77777777" w:rsidR="00961353" w:rsidRPr="00781608" w:rsidRDefault="00A56DF7" w:rsidP="00E85684">
      <w:pPr>
        <w:pStyle w:val="ydp360db5b4yiv6248630976msolistparagraph"/>
        <w:numPr>
          <w:ilvl w:val="1"/>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 xml:space="preserve">Provide copies of various </w:t>
      </w:r>
      <w:proofErr w:type="spellStart"/>
      <w:r w:rsidRPr="00781608">
        <w:rPr>
          <w:rFonts w:asciiTheme="minorHAnsi" w:eastAsia="Times New Roman" w:hAnsiTheme="minorHAnsi" w:cstheme="minorHAnsi"/>
          <w:sz w:val="24"/>
          <w:szCs w:val="24"/>
        </w:rPr>
        <w:t>GoG</w:t>
      </w:r>
      <w:proofErr w:type="spellEnd"/>
      <w:r w:rsidRPr="00781608">
        <w:rPr>
          <w:rFonts w:asciiTheme="minorHAnsi" w:eastAsia="Times New Roman" w:hAnsiTheme="minorHAnsi" w:cstheme="minorHAnsi"/>
          <w:sz w:val="24"/>
          <w:szCs w:val="24"/>
        </w:rPr>
        <w:t xml:space="preserve"> GRs as mentioned </w:t>
      </w:r>
      <w:proofErr w:type="gramStart"/>
      <w:r w:rsidRPr="00781608">
        <w:rPr>
          <w:rFonts w:asciiTheme="minorHAnsi" w:eastAsia="Times New Roman" w:hAnsiTheme="minorHAnsi" w:cstheme="minorHAnsi"/>
          <w:sz w:val="24"/>
          <w:szCs w:val="24"/>
        </w:rPr>
        <w:t>below;</w:t>
      </w:r>
      <w:proofErr w:type="gramEnd"/>
    </w:p>
    <w:p w14:paraId="32F616BC" w14:textId="77777777" w:rsidR="00961353" w:rsidRPr="00781608" w:rsidRDefault="00A56DF7" w:rsidP="00E85684">
      <w:pPr>
        <w:pStyle w:val="ydp360db5b4yiv6248630976msolistparagraph"/>
        <w:numPr>
          <w:ilvl w:val="2"/>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hAnsiTheme="minorHAnsi" w:cstheme="minorHAnsi"/>
          <w:sz w:val="24"/>
          <w:szCs w:val="24"/>
        </w:rPr>
        <w:t>GUV-122020-345-K.1 dated 27.03.2020</w:t>
      </w:r>
    </w:p>
    <w:p w14:paraId="25D2FAFF" w14:textId="77777777" w:rsidR="00961353" w:rsidRPr="00781608" w:rsidRDefault="00A56DF7" w:rsidP="00E85684">
      <w:pPr>
        <w:pStyle w:val="ydp360db5b4yiv6248630976msolistparagraph"/>
        <w:numPr>
          <w:ilvl w:val="2"/>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hAnsiTheme="minorHAnsi" w:cstheme="minorHAnsi"/>
          <w:sz w:val="24"/>
          <w:szCs w:val="24"/>
        </w:rPr>
        <w:t>GUV-122020-345-K.1 dated 27.03.2020</w:t>
      </w:r>
    </w:p>
    <w:p w14:paraId="29F3D42B" w14:textId="77777777" w:rsidR="00961353" w:rsidRPr="00781608" w:rsidRDefault="00A56DF7" w:rsidP="00E85684">
      <w:pPr>
        <w:pStyle w:val="ydp360db5b4yiv6248630976msolistparagraph"/>
        <w:numPr>
          <w:ilvl w:val="2"/>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hAnsiTheme="minorHAnsi" w:cstheme="minorHAnsi"/>
          <w:sz w:val="24"/>
          <w:szCs w:val="24"/>
        </w:rPr>
        <w:t>GUV-122020-345-K.1 dated 30.03.2020</w:t>
      </w:r>
    </w:p>
    <w:p w14:paraId="0A1F2CB2" w14:textId="77777777" w:rsidR="00961353" w:rsidRPr="00781608" w:rsidRDefault="00A56DF7" w:rsidP="00E85684">
      <w:pPr>
        <w:pStyle w:val="ydp360db5b4yiv6248630976msolistparagraph"/>
        <w:numPr>
          <w:ilvl w:val="2"/>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hAnsiTheme="minorHAnsi" w:cstheme="minorHAnsi"/>
          <w:sz w:val="24"/>
          <w:szCs w:val="24"/>
        </w:rPr>
        <w:t>GUV-122020-345-K.1 dated 11.05.2020</w:t>
      </w:r>
    </w:p>
    <w:p w14:paraId="69026F8B" w14:textId="77777777" w:rsidR="00A56DF7" w:rsidRPr="00781608" w:rsidRDefault="00A56DF7" w:rsidP="00E85684">
      <w:pPr>
        <w:pStyle w:val="ydp360db5b4yiv6248630976msolistparagraph"/>
        <w:numPr>
          <w:ilvl w:val="2"/>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hAnsiTheme="minorHAnsi" w:cstheme="minorHAnsi"/>
          <w:sz w:val="24"/>
          <w:szCs w:val="24"/>
        </w:rPr>
        <w:lastRenderedPageBreak/>
        <w:t>APB/102020/108/195224 dated 05.06.2020</w:t>
      </w:r>
    </w:p>
    <w:p w14:paraId="1D7E2142" w14:textId="77777777" w:rsidR="00A56DF7" w:rsidRPr="00781608" w:rsidRDefault="00A56DF7" w:rsidP="00E85684">
      <w:pPr>
        <w:pStyle w:val="ydp360db5b4yiv6248630976msolistparagraph"/>
        <w:numPr>
          <w:ilvl w:val="2"/>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hAnsiTheme="minorHAnsi" w:cstheme="minorHAnsi"/>
          <w:sz w:val="24"/>
          <w:szCs w:val="24"/>
        </w:rPr>
        <w:t>GUV-132020-960-K.1 dated 22.06.2020</w:t>
      </w:r>
    </w:p>
    <w:p w14:paraId="0ACE9AD3" w14:textId="77777777" w:rsidR="00A56DF7" w:rsidRPr="00781608" w:rsidRDefault="00A56DF7" w:rsidP="00E85684">
      <w:pPr>
        <w:pStyle w:val="ydp360db5b4yiv6248630976msolistparagraph"/>
        <w:numPr>
          <w:ilvl w:val="2"/>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hAnsiTheme="minorHAnsi" w:cstheme="minorHAnsi"/>
          <w:sz w:val="24"/>
          <w:szCs w:val="24"/>
        </w:rPr>
        <w:t>GUV-13020-960 (2)-K.1 dated 17.06.2020</w:t>
      </w:r>
    </w:p>
    <w:p w14:paraId="33164CD2" w14:textId="77777777" w:rsidR="00A56DF7" w:rsidRPr="00781608" w:rsidRDefault="00A56DF7" w:rsidP="00E85684">
      <w:pPr>
        <w:pStyle w:val="ydp360db5b4yiv6248630976msolistparagraph"/>
        <w:numPr>
          <w:ilvl w:val="2"/>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hAnsiTheme="minorHAnsi" w:cstheme="minorHAnsi"/>
          <w:sz w:val="24"/>
          <w:szCs w:val="24"/>
        </w:rPr>
        <w:t>GUV-132020-960 (3)-K.1 dated 17.06.2020</w:t>
      </w:r>
    </w:p>
    <w:p w14:paraId="798DE8A8" w14:textId="77777777" w:rsidR="00A56DF7" w:rsidRPr="00781608" w:rsidRDefault="00A56DF7" w:rsidP="00E85684">
      <w:pPr>
        <w:pStyle w:val="ydp360db5b4yiv6248630976msolistparagraph"/>
        <w:numPr>
          <w:ilvl w:val="2"/>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hAnsiTheme="minorHAnsi" w:cstheme="minorHAnsi"/>
          <w:sz w:val="24"/>
          <w:szCs w:val="24"/>
        </w:rPr>
        <w:t>PRCH-102020-250-K dated 08.04.2020</w:t>
      </w:r>
    </w:p>
    <w:p w14:paraId="64D5C300" w14:textId="2E46DBD7" w:rsidR="006A2F70" w:rsidRPr="00781608" w:rsidRDefault="006A2F70" w:rsidP="006A2F70">
      <w:pPr>
        <w:pStyle w:val="ListParagraph"/>
        <w:ind w:left="1440"/>
        <w:jc w:val="both"/>
        <w:rPr>
          <w:rFonts w:asciiTheme="minorHAnsi" w:eastAsia="Times New Roman" w:hAnsiTheme="minorHAnsi" w:cstheme="minorHAnsi"/>
          <w:sz w:val="24"/>
          <w:szCs w:val="24"/>
        </w:rPr>
      </w:pPr>
      <w:bookmarkStart w:id="12" w:name="_Hlk93156265"/>
      <w:r w:rsidRPr="00547830">
        <w:rPr>
          <w:rFonts w:asciiTheme="minorHAnsi" w:eastAsia="Times New Roman" w:hAnsiTheme="minorHAnsi" w:cstheme="minorHAnsi"/>
          <w:b/>
          <w:bCs/>
          <w:sz w:val="24"/>
          <w:szCs w:val="24"/>
        </w:rPr>
        <w:t xml:space="preserve">Compliance: </w:t>
      </w:r>
      <w:r w:rsidRPr="00547830">
        <w:rPr>
          <w:rFonts w:asciiTheme="minorHAnsi" w:eastAsia="Times New Roman" w:hAnsiTheme="minorHAnsi" w:cstheme="minorHAnsi"/>
          <w:sz w:val="24"/>
          <w:szCs w:val="24"/>
        </w:rPr>
        <w:t xml:space="preserve">Copies of </w:t>
      </w:r>
      <w:proofErr w:type="spellStart"/>
      <w:r w:rsidRPr="00547830">
        <w:rPr>
          <w:rFonts w:asciiTheme="minorHAnsi" w:eastAsia="Times New Roman" w:hAnsiTheme="minorHAnsi" w:cstheme="minorHAnsi"/>
          <w:sz w:val="24"/>
          <w:szCs w:val="24"/>
        </w:rPr>
        <w:t>GoG</w:t>
      </w:r>
      <w:proofErr w:type="spellEnd"/>
      <w:r w:rsidRPr="00547830">
        <w:rPr>
          <w:rFonts w:asciiTheme="minorHAnsi" w:eastAsia="Times New Roman" w:hAnsiTheme="minorHAnsi" w:cstheme="minorHAnsi"/>
          <w:sz w:val="24"/>
          <w:szCs w:val="24"/>
        </w:rPr>
        <w:t xml:space="preserve"> GR are attached herewith as Annexure GU - </w:t>
      </w:r>
      <w:r w:rsidR="00547830" w:rsidRPr="00547830">
        <w:rPr>
          <w:rFonts w:asciiTheme="minorHAnsi" w:eastAsia="Times New Roman" w:hAnsiTheme="minorHAnsi" w:cstheme="minorHAnsi"/>
          <w:sz w:val="24"/>
          <w:szCs w:val="24"/>
        </w:rPr>
        <w:t>5</w:t>
      </w:r>
      <w:r w:rsidRPr="00547830">
        <w:rPr>
          <w:rFonts w:asciiTheme="minorHAnsi" w:eastAsia="Times New Roman" w:hAnsiTheme="minorHAnsi" w:cstheme="minorHAnsi"/>
          <w:sz w:val="24"/>
          <w:szCs w:val="24"/>
        </w:rPr>
        <w:t>.</w:t>
      </w:r>
      <w:bookmarkEnd w:id="12"/>
    </w:p>
    <w:p w14:paraId="5423631A" w14:textId="77A6BDF3" w:rsidR="00873C71" w:rsidRPr="00781608" w:rsidRDefault="00873C71" w:rsidP="00873C71">
      <w:pPr>
        <w:pStyle w:val="ydp360db5b4yiv6248630976msolistparagraph"/>
        <w:spacing w:beforeAutospacing="0" w:after="200" w:afterAutospacing="0" w:line="276" w:lineRule="auto"/>
        <w:ind w:left="720" w:firstLine="360"/>
        <w:jc w:val="both"/>
        <w:rPr>
          <w:rFonts w:asciiTheme="minorHAnsi" w:eastAsia="Times New Roman" w:hAnsiTheme="minorHAnsi" w:cstheme="minorHAnsi"/>
          <w:sz w:val="24"/>
          <w:szCs w:val="24"/>
        </w:rPr>
      </w:pPr>
    </w:p>
    <w:p w14:paraId="6C9DAFD7" w14:textId="77777777" w:rsidR="00A56DF7" w:rsidRPr="00781608" w:rsidRDefault="00A56DF7" w:rsidP="00E85684">
      <w:pPr>
        <w:pStyle w:val="ydp360db5b4yiv6248630976msolistparagraph"/>
        <w:numPr>
          <w:ilvl w:val="1"/>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 xml:space="preserve">Computation of relief claimed by UGVCL from </w:t>
      </w:r>
      <w:proofErr w:type="spellStart"/>
      <w:r w:rsidRPr="00781608">
        <w:rPr>
          <w:rFonts w:asciiTheme="minorHAnsi" w:eastAsia="Times New Roman" w:hAnsiTheme="minorHAnsi" w:cstheme="minorHAnsi"/>
          <w:sz w:val="24"/>
          <w:szCs w:val="24"/>
        </w:rPr>
        <w:t>GoG</w:t>
      </w:r>
      <w:proofErr w:type="spellEnd"/>
      <w:r w:rsidRPr="00781608">
        <w:rPr>
          <w:rFonts w:asciiTheme="minorHAnsi" w:eastAsia="Times New Roman" w:hAnsiTheme="minorHAnsi" w:cstheme="minorHAnsi"/>
          <w:sz w:val="24"/>
          <w:szCs w:val="24"/>
        </w:rPr>
        <w:t xml:space="preserve"> against various relief measures declared by </w:t>
      </w:r>
      <w:proofErr w:type="spellStart"/>
      <w:r w:rsidRPr="00781608">
        <w:rPr>
          <w:rFonts w:asciiTheme="minorHAnsi" w:eastAsia="Times New Roman" w:hAnsiTheme="minorHAnsi" w:cstheme="minorHAnsi"/>
          <w:sz w:val="24"/>
          <w:szCs w:val="24"/>
        </w:rPr>
        <w:t>GoG</w:t>
      </w:r>
      <w:proofErr w:type="spellEnd"/>
      <w:r w:rsidRPr="00781608">
        <w:rPr>
          <w:rFonts w:asciiTheme="minorHAnsi" w:eastAsia="Times New Roman" w:hAnsiTheme="minorHAnsi" w:cstheme="minorHAnsi"/>
          <w:sz w:val="24"/>
          <w:szCs w:val="24"/>
        </w:rPr>
        <w:t xml:space="preserve"> on account of COVID-</w:t>
      </w:r>
      <w:proofErr w:type="gramStart"/>
      <w:r w:rsidRPr="00781608">
        <w:rPr>
          <w:rFonts w:asciiTheme="minorHAnsi" w:eastAsia="Times New Roman" w:hAnsiTheme="minorHAnsi" w:cstheme="minorHAnsi"/>
          <w:sz w:val="24"/>
          <w:szCs w:val="24"/>
        </w:rPr>
        <w:t>19;</w:t>
      </w:r>
      <w:proofErr w:type="gramEnd"/>
    </w:p>
    <w:p w14:paraId="786FAB4F" w14:textId="32F76668" w:rsidR="001B6F45" w:rsidRPr="00781608" w:rsidRDefault="001B6F45" w:rsidP="001B6F45">
      <w:pPr>
        <w:pStyle w:val="ListParagraph"/>
        <w:ind w:left="1440"/>
        <w:jc w:val="both"/>
        <w:rPr>
          <w:rFonts w:asciiTheme="minorHAnsi" w:eastAsia="Times New Roman" w:hAnsiTheme="minorHAnsi" w:cstheme="minorHAnsi"/>
          <w:sz w:val="24"/>
          <w:szCs w:val="24"/>
        </w:rPr>
      </w:pPr>
      <w:r w:rsidRPr="00781608">
        <w:rPr>
          <w:rFonts w:asciiTheme="minorHAnsi" w:eastAsia="Times New Roman" w:hAnsiTheme="minorHAnsi" w:cstheme="minorHAnsi"/>
          <w:b/>
          <w:bCs/>
          <w:sz w:val="24"/>
          <w:szCs w:val="24"/>
        </w:rPr>
        <w:t xml:space="preserve">Compliance: </w:t>
      </w:r>
      <w:r w:rsidR="005E03AF" w:rsidRPr="00781608">
        <w:rPr>
          <w:rFonts w:asciiTheme="minorHAnsi" w:eastAsia="Times New Roman" w:hAnsiTheme="minorHAnsi" w:cstheme="minorHAnsi"/>
          <w:b/>
          <w:bCs/>
          <w:sz w:val="24"/>
          <w:szCs w:val="24"/>
        </w:rPr>
        <w:t xml:space="preserve"> </w:t>
      </w:r>
      <w:r w:rsidR="005E03AF" w:rsidRPr="00781608">
        <w:rPr>
          <w:rFonts w:asciiTheme="minorHAnsi" w:eastAsia="Times New Roman" w:hAnsiTheme="minorHAnsi" w:cstheme="minorHAnsi"/>
          <w:sz w:val="24"/>
          <w:szCs w:val="24"/>
        </w:rPr>
        <w:t xml:space="preserve">Details is attached herewith as </w:t>
      </w:r>
      <w:r w:rsidR="005E03AF" w:rsidRPr="00781608">
        <w:rPr>
          <w:rFonts w:asciiTheme="minorHAnsi" w:eastAsia="Times New Roman" w:hAnsiTheme="minorHAnsi" w:cstheme="minorHAnsi"/>
          <w:b/>
          <w:bCs/>
          <w:sz w:val="24"/>
          <w:szCs w:val="24"/>
        </w:rPr>
        <w:t>Annexure –</w:t>
      </w:r>
      <w:r w:rsidR="00483BB1">
        <w:rPr>
          <w:rFonts w:asciiTheme="minorHAnsi" w:eastAsia="Times New Roman" w:hAnsiTheme="minorHAnsi" w:cstheme="minorHAnsi"/>
          <w:b/>
          <w:bCs/>
          <w:sz w:val="24"/>
          <w:szCs w:val="24"/>
        </w:rPr>
        <w:t>F</w:t>
      </w:r>
      <w:r w:rsidR="005E03AF" w:rsidRPr="00781608">
        <w:rPr>
          <w:rFonts w:asciiTheme="minorHAnsi" w:eastAsia="Times New Roman" w:hAnsiTheme="minorHAnsi" w:cstheme="minorHAnsi"/>
          <w:b/>
          <w:bCs/>
          <w:sz w:val="24"/>
          <w:szCs w:val="24"/>
        </w:rPr>
        <w:t>.</w:t>
      </w:r>
    </w:p>
    <w:p w14:paraId="6F0BFE97" w14:textId="77777777" w:rsidR="00A56DF7" w:rsidRPr="00781608" w:rsidRDefault="00A56DF7" w:rsidP="00E85684">
      <w:pPr>
        <w:pStyle w:val="ydp360db5b4yiv6248630976msolistparagraph"/>
        <w:numPr>
          <w:ilvl w:val="1"/>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 xml:space="preserve">Details of relief claimed by UGVCL from </w:t>
      </w:r>
      <w:proofErr w:type="spellStart"/>
      <w:r w:rsidRPr="00781608">
        <w:rPr>
          <w:rFonts w:asciiTheme="minorHAnsi" w:eastAsia="Times New Roman" w:hAnsiTheme="minorHAnsi" w:cstheme="minorHAnsi"/>
          <w:sz w:val="24"/>
          <w:szCs w:val="24"/>
        </w:rPr>
        <w:t>GoG</w:t>
      </w:r>
      <w:proofErr w:type="spellEnd"/>
      <w:r w:rsidRPr="00781608">
        <w:rPr>
          <w:rFonts w:asciiTheme="minorHAnsi" w:eastAsia="Times New Roman" w:hAnsiTheme="minorHAnsi" w:cstheme="minorHAnsi"/>
          <w:sz w:val="24"/>
          <w:szCs w:val="24"/>
        </w:rPr>
        <w:t xml:space="preserve"> against various relief measures declared by </w:t>
      </w:r>
      <w:proofErr w:type="spellStart"/>
      <w:r w:rsidRPr="00781608">
        <w:rPr>
          <w:rFonts w:asciiTheme="minorHAnsi" w:eastAsia="Times New Roman" w:hAnsiTheme="minorHAnsi" w:cstheme="minorHAnsi"/>
          <w:sz w:val="24"/>
          <w:szCs w:val="24"/>
        </w:rPr>
        <w:t>GoG</w:t>
      </w:r>
      <w:proofErr w:type="spellEnd"/>
      <w:r w:rsidRPr="00781608">
        <w:rPr>
          <w:rFonts w:asciiTheme="minorHAnsi" w:eastAsia="Times New Roman" w:hAnsiTheme="minorHAnsi" w:cstheme="minorHAnsi"/>
          <w:sz w:val="24"/>
          <w:szCs w:val="24"/>
        </w:rPr>
        <w:t xml:space="preserve"> on account of COVID-</w:t>
      </w:r>
      <w:proofErr w:type="gramStart"/>
      <w:r w:rsidRPr="00781608">
        <w:rPr>
          <w:rFonts w:asciiTheme="minorHAnsi" w:eastAsia="Times New Roman" w:hAnsiTheme="minorHAnsi" w:cstheme="minorHAnsi"/>
          <w:sz w:val="24"/>
          <w:szCs w:val="24"/>
        </w:rPr>
        <w:t>19;</w:t>
      </w:r>
      <w:proofErr w:type="gramEnd"/>
    </w:p>
    <w:p w14:paraId="3A32E1AA" w14:textId="71B0EC3B" w:rsidR="005E03AF" w:rsidRPr="00781608" w:rsidRDefault="001D71E1" w:rsidP="005E03AF">
      <w:pPr>
        <w:pStyle w:val="ListParagraph"/>
        <w:ind w:left="1440"/>
        <w:jc w:val="both"/>
        <w:rPr>
          <w:rFonts w:asciiTheme="minorHAnsi" w:eastAsia="Times New Roman" w:hAnsiTheme="minorHAnsi" w:cstheme="minorHAnsi"/>
          <w:sz w:val="24"/>
          <w:szCs w:val="24"/>
        </w:rPr>
      </w:pPr>
      <w:r w:rsidRPr="00781608">
        <w:rPr>
          <w:rFonts w:asciiTheme="minorHAnsi" w:eastAsia="Times New Roman" w:hAnsiTheme="minorHAnsi" w:cstheme="minorHAnsi"/>
          <w:b/>
          <w:bCs/>
          <w:sz w:val="24"/>
          <w:szCs w:val="24"/>
        </w:rPr>
        <w:t xml:space="preserve">Compliance: </w:t>
      </w:r>
      <w:r w:rsidR="005E03AF" w:rsidRPr="00781608">
        <w:rPr>
          <w:rFonts w:asciiTheme="minorHAnsi" w:eastAsia="Times New Roman" w:hAnsiTheme="minorHAnsi" w:cstheme="minorHAnsi"/>
          <w:b/>
          <w:bCs/>
          <w:sz w:val="24"/>
          <w:szCs w:val="24"/>
        </w:rPr>
        <w:t xml:space="preserve"> </w:t>
      </w:r>
      <w:r w:rsidR="005E03AF" w:rsidRPr="00781608">
        <w:rPr>
          <w:rFonts w:asciiTheme="minorHAnsi" w:eastAsia="Times New Roman" w:hAnsiTheme="minorHAnsi" w:cstheme="minorHAnsi"/>
          <w:sz w:val="24"/>
          <w:szCs w:val="24"/>
        </w:rPr>
        <w:t xml:space="preserve">Details is attached herewith as </w:t>
      </w:r>
      <w:r w:rsidR="005E03AF" w:rsidRPr="00781608">
        <w:rPr>
          <w:rFonts w:asciiTheme="minorHAnsi" w:eastAsia="Times New Roman" w:hAnsiTheme="minorHAnsi" w:cstheme="minorHAnsi"/>
          <w:b/>
          <w:bCs/>
          <w:sz w:val="24"/>
          <w:szCs w:val="24"/>
        </w:rPr>
        <w:t>Annexure –</w:t>
      </w:r>
      <w:r w:rsidR="00483BB1">
        <w:rPr>
          <w:rFonts w:asciiTheme="minorHAnsi" w:eastAsia="Times New Roman" w:hAnsiTheme="minorHAnsi" w:cstheme="minorHAnsi"/>
          <w:b/>
          <w:bCs/>
          <w:sz w:val="24"/>
          <w:szCs w:val="24"/>
        </w:rPr>
        <w:t>F</w:t>
      </w:r>
      <w:r w:rsidR="005E03AF" w:rsidRPr="00781608">
        <w:rPr>
          <w:rFonts w:asciiTheme="minorHAnsi" w:eastAsia="Times New Roman" w:hAnsiTheme="minorHAnsi" w:cstheme="minorHAnsi"/>
          <w:b/>
          <w:bCs/>
          <w:sz w:val="24"/>
          <w:szCs w:val="24"/>
        </w:rPr>
        <w:t>.</w:t>
      </w:r>
    </w:p>
    <w:p w14:paraId="4D080582" w14:textId="77777777" w:rsidR="00A56DF7" w:rsidRPr="00781608" w:rsidRDefault="00A56DF7" w:rsidP="00E85684">
      <w:pPr>
        <w:pStyle w:val="ydp360db5b4yiv6248630976msolistparagraph"/>
        <w:numPr>
          <w:ilvl w:val="1"/>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 xml:space="preserve">Provide the details of revenue loss and clarify whether the revenue loss on account of DPC and on account of non-levy of Fixed/Demand Charges to LTMD/NRGP/HT categories have been met by </w:t>
      </w:r>
      <w:proofErr w:type="spellStart"/>
      <w:proofErr w:type="gramStart"/>
      <w:r w:rsidRPr="00781608">
        <w:rPr>
          <w:rFonts w:asciiTheme="minorHAnsi" w:eastAsia="Times New Roman" w:hAnsiTheme="minorHAnsi" w:cstheme="minorHAnsi"/>
          <w:sz w:val="24"/>
          <w:szCs w:val="24"/>
        </w:rPr>
        <w:t>GoG</w:t>
      </w:r>
      <w:proofErr w:type="spellEnd"/>
      <w:r w:rsidRPr="00781608">
        <w:rPr>
          <w:rFonts w:asciiTheme="minorHAnsi" w:eastAsia="Times New Roman" w:hAnsiTheme="minorHAnsi" w:cstheme="minorHAnsi"/>
          <w:sz w:val="24"/>
          <w:szCs w:val="24"/>
        </w:rPr>
        <w:t>;</w:t>
      </w:r>
      <w:proofErr w:type="gramEnd"/>
    </w:p>
    <w:p w14:paraId="47C82265" w14:textId="27123B4E" w:rsidR="005E03AF" w:rsidRPr="00781608" w:rsidRDefault="001D71E1" w:rsidP="005E03AF">
      <w:pPr>
        <w:pStyle w:val="ListParagraph"/>
        <w:ind w:left="1440"/>
        <w:jc w:val="both"/>
        <w:rPr>
          <w:rFonts w:asciiTheme="minorHAnsi" w:eastAsia="Times New Roman" w:hAnsiTheme="minorHAnsi" w:cstheme="minorHAnsi"/>
          <w:b/>
          <w:bCs/>
          <w:sz w:val="24"/>
          <w:szCs w:val="24"/>
        </w:rPr>
      </w:pPr>
      <w:r w:rsidRPr="00781608">
        <w:rPr>
          <w:rFonts w:asciiTheme="minorHAnsi" w:eastAsia="Times New Roman" w:hAnsiTheme="minorHAnsi" w:cstheme="minorHAnsi"/>
          <w:b/>
          <w:bCs/>
          <w:sz w:val="24"/>
          <w:szCs w:val="24"/>
        </w:rPr>
        <w:t xml:space="preserve">Compliance: </w:t>
      </w:r>
      <w:r w:rsidR="005E03AF" w:rsidRPr="00781608">
        <w:rPr>
          <w:rFonts w:asciiTheme="minorHAnsi" w:eastAsia="Times New Roman" w:hAnsiTheme="minorHAnsi" w:cstheme="minorHAnsi"/>
          <w:sz w:val="24"/>
          <w:szCs w:val="24"/>
        </w:rPr>
        <w:t xml:space="preserve">Details is attached herewith as </w:t>
      </w:r>
      <w:r w:rsidR="005E03AF" w:rsidRPr="00781608">
        <w:rPr>
          <w:rFonts w:asciiTheme="minorHAnsi" w:eastAsia="Times New Roman" w:hAnsiTheme="minorHAnsi" w:cstheme="minorHAnsi"/>
          <w:b/>
          <w:bCs/>
          <w:sz w:val="24"/>
          <w:szCs w:val="24"/>
        </w:rPr>
        <w:t>Annexure –</w:t>
      </w:r>
      <w:r w:rsidR="00483BB1">
        <w:rPr>
          <w:rFonts w:asciiTheme="minorHAnsi" w:eastAsia="Times New Roman" w:hAnsiTheme="minorHAnsi" w:cstheme="minorHAnsi"/>
          <w:b/>
          <w:bCs/>
          <w:sz w:val="24"/>
          <w:szCs w:val="24"/>
        </w:rPr>
        <w:t>G</w:t>
      </w:r>
      <w:r w:rsidR="005E03AF" w:rsidRPr="00781608">
        <w:rPr>
          <w:rFonts w:asciiTheme="minorHAnsi" w:eastAsia="Times New Roman" w:hAnsiTheme="minorHAnsi" w:cstheme="minorHAnsi"/>
          <w:b/>
          <w:bCs/>
          <w:sz w:val="24"/>
          <w:szCs w:val="24"/>
        </w:rPr>
        <w:t>.</w:t>
      </w:r>
    </w:p>
    <w:p w14:paraId="63DC522F" w14:textId="77777777" w:rsidR="005E03AF" w:rsidRPr="00781608" w:rsidRDefault="005E03AF" w:rsidP="005E03AF">
      <w:pPr>
        <w:pStyle w:val="ListParagraph"/>
        <w:ind w:left="1440"/>
        <w:jc w:val="both"/>
        <w:rPr>
          <w:rFonts w:asciiTheme="minorHAnsi" w:eastAsia="Times New Roman" w:hAnsiTheme="minorHAnsi" w:cstheme="minorHAnsi"/>
          <w:sz w:val="24"/>
          <w:szCs w:val="24"/>
        </w:rPr>
      </w:pPr>
    </w:p>
    <w:p w14:paraId="1649B895" w14:textId="77777777" w:rsidR="00A56DF7" w:rsidRPr="003C6B20" w:rsidRDefault="00A56DF7" w:rsidP="00E85684">
      <w:pPr>
        <w:pStyle w:val="ydp360db5b4yiv6248630976msolistparagraph"/>
        <w:numPr>
          <w:ilvl w:val="1"/>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 xml:space="preserve">Provide the details of the amount and clarify where the revenue received from </w:t>
      </w:r>
      <w:proofErr w:type="spellStart"/>
      <w:r w:rsidRPr="00781608">
        <w:rPr>
          <w:rFonts w:asciiTheme="minorHAnsi" w:eastAsia="Times New Roman" w:hAnsiTheme="minorHAnsi" w:cstheme="minorHAnsi"/>
          <w:sz w:val="24"/>
          <w:szCs w:val="24"/>
        </w:rPr>
        <w:t>GoG</w:t>
      </w:r>
      <w:proofErr w:type="spellEnd"/>
      <w:r w:rsidRPr="00781608">
        <w:rPr>
          <w:rFonts w:asciiTheme="minorHAnsi" w:eastAsia="Times New Roman" w:hAnsiTheme="minorHAnsi" w:cstheme="minorHAnsi"/>
          <w:sz w:val="24"/>
          <w:szCs w:val="24"/>
        </w:rPr>
        <w:t xml:space="preserve"> under </w:t>
      </w:r>
      <w:proofErr w:type="spellStart"/>
      <w:r w:rsidRPr="00781608">
        <w:rPr>
          <w:rFonts w:asciiTheme="minorHAnsi" w:eastAsia="Times New Roman" w:hAnsiTheme="minorHAnsi" w:cstheme="minorHAnsi"/>
          <w:sz w:val="24"/>
          <w:szCs w:val="24"/>
        </w:rPr>
        <w:t>Atm</w:t>
      </w:r>
      <w:r w:rsidRPr="003C6B20">
        <w:rPr>
          <w:rFonts w:asciiTheme="minorHAnsi" w:eastAsia="Times New Roman" w:hAnsiTheme="minorHAnsi" w:cstheme="minorHAnsi"/>
          <w:sz w:val="24"/>
          <w:szCs w:val="24"/>
        </w:rPr>
        <w:t>anirbhar</w:t>
      </w:r>
      <w:proofErr w:type="spellEnd"/>
      <w:r w:rsidRPr="003C6B20">
        <w:rPr>
          <w:rFonts w:asciiTheme="minorHAnsi" w:eastAsia="Times New Roman" w:hAnsiTheme="minorHAnsi" w:cstheme="minorHAnsi"/>
          <w:sz w:val="24"/>
          <w:szCs w:val="24"/>
        </w:rPr>
        <w:t xml:space="preserve"> Scheme are </w:t>
      </w:r>
      <w:proofErr w:type="gramStart"/>
      <w:r w:rsidRPr="003C6B20">
        <w:rPr>
          <w:rFonts w:asciiTheme="minorHAnsi" w:eastAsia="Times New Roman" w:hAnsiTheme="minorHAnsi" w:cstheme="minorHAnsi"/>
          <w:sz w:val="24"/>
          <w:szCs w:val="24"/>
        </w:rPr>
        <w:t>considered;</w:t>
      </w:r>
      <w:proofErr w:type="gramEnd"/>
    </w:p>
    <w:p w14:paraId="253AE800" w14:textId="4EA1AE9A" w:rsidR="005E03AF" w:rsidRPr="00781608" w:rsidRDefault="001D71E1" w:rsidP="005E03AF">
      <w:pPr>
        <w:pStyle w:val="ydp360db5b4yiv6248630976msolistparagraph"/>
        <w:spacing w:beforeAutospacing="0" w:after="200" w:afterAutospacing="0" w:line="276" w:lineRule="auto"/>
        <w:ind w:left="1440"/>
        <w:jc w:val="both"/>
        <w:rPr>
          <w:rFonts w:asciiTheme="minorHAnsi" w:eastAsia="Times New Roman" w:hAnsiTheme="minorHAnsi" w:cstheme="minorHAnsi"/>
          <w:sz w:val="24"/>
          <w:szCs w:val="24"/>
        </w:rPr>
      </w:pPr>
      <w:r w:rsidRPr="003C6B20">
        <w:rPr>
          <w:rFonts w:asciiTheme="minorHAnsi" w:eastAsia="Times New Roman" w:hAnsiTheme="minorHAnsi" w:cstheme="minorHAnsi"/>
          <w:b/>
          <w:bCs/>
          <w:sz w:val="24"/>
          <w:szCs w:val="24"/>
        </w:rPr>
        <w:t xml:space="preserve">Compliance: </w:t>
      </w:r>
      <w:r w:rsidR="005E03AF" w:rsidRPr="003C6B20">
        <w:rPr>
          <w:rFonts w:asciiTheme="minorHAnsi" w:eastAsia="Times New Roman" w:hAnsiTheme="minorHAnsi" w:cstheme="minorHAnsi"/>
          <w:sz w:val="24"/>
          <w:szCs w:val="24"/>
        </w:rPr>
        <w:t xml:space="preserve">Relief under </w:t>
      </w:r>
      <w:proofErr w:type="spellStart"/>
      <w:r w:rsidR="005E03AF" w:rsidRPr="003C6B20">
        <w:rPr>
          <w:rFonts w:asciiTheme="minorHAnsi" w:eastAsia="Times New Roman" w:hAnsiTheme="minorHAnsi" w:cstheme="minorHAnsi"/>
          <w:sz w:val="24"/>
          <w:szCs w:val="24"/>
        </w:rPr>
        <w:t>Atmanirbhar</w:t>
      </w:r>
      <w:proofErr w:type="spellEnd"/>
      <w:r w:rsidR="005E03AF" w:rsidRPr="003C6B20">
        <w:rPr>
          <w:rFonts w:asciiTheme="minorHAnsi" w:eastAsia="Times New Roman" w:hAnsiTheme="minorHAnsi" w:cstheme="minorHAnsi"/>
          <w:sz w:val="24"/>
          <w:szCs w:val="24"/>
        </w:rPr>
        <w:t xml:space="preserve"> package amounting to Rs. 7799.52 </w:t>
      </w:r>
      <w:r w:rsidR="003C6B20" w:rsidRPr="003C6B20">
        <w:rPr>
          <w:rFonts w:asciiTheme="minorHAnsi" w:eastAsia="Times New Roman" w:hAnsiTheme="minorHAnsi" w:cstheme="minorHAnsi"/>
          <w:sz w:val="24"/>
          <w:szCs w:val="24"/>
        </w:rPr>
        <w:t xml:space="preserve">Lacs </w:t>
      </w:r>
      <w:r w:rsidR="005E03AF" w:rsidRPr="003C6B20">
        <w:rPr>
          <w:rFonts w:asciiTheme="minorHAnsi" w:eastAsia="Times New Roman" w:hAnsiTheme="minorHAnsi" w:cstheme="minorHAnsi"/>
          <w:sz w:val="24"/>
          <w:szCs w:val="24"/>
        </w:rPr>
        <w:t xml:space="preserve">received. The detail breakup already available in financial statement </w:t>
      </w:r>
      <w:proofErr w:type="gramStart"/>
      <w:r w:rsidR="005E03AF" w:rsidRPr="003C6B20">
        <w:rPr>
          <w:rFonts w:asciiTheme="minorHAnsi" w:eastAsia="Times New Roman" w:hAnsiTheme="minorHAnsi" w:cstheme="minorHAnsi"/>
          <w:sz w:val="24"/>
          <w:szCs w:val="24"/>
        </w:rPr>
        <w:t>2020-21 page</w:t>
      </w:r>
      <w:proofErr w:type="gramEnd"/>
      <w:r w:rsidR="005E03AF" w:rsidRPr="003C6B20">
        <w:rPr>
          <w:rFonts w:asciiTheme="minorHAnsi" w:eastAsia="Times New Roman" w:hAnsiTheme="minorHAnsi" w:cstheme="minorHAnsi"/>
          <w:sz w:val="24"/>
          <w:szCs w:val="24"/>
        </w:rPr>
        <w:t xml:space="preserve"> no. 60</w:t>
      </w:r>
      <w:r w:rsidR="006A2F70" w:rsidRPr="003C6B20">
        <w:rPr>
          <w:rFonts w:asciiTheme="minorHAnsi" w:eastAsia="Times New Roman" w:hAnsiTheme="minorHAnsi" w:cstheme="minorHAnsi"/>
          <w:sz w:val="24"/>
          <w:szCs w:val="24"/>
        </w:rPr>
        <w:t>.</w:t>
      </w:r>
    </w:p>
    <w:p w14:paraId="5FE3007F" w14:textId="77777777" w:rsidR="00A56DF7" w:rsidRPr="00781608" w:rsidRDefault="00A56DF7" w:rsidP="00E85684">
      <w:pPr>
        <w:pStyle w:val="ydp360db5b4yiv6248630976msolistparagraph"/>
        <w:numPr>
          <w:ilvl w:val="1"/>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 xml:space="preserve">Clarify where the impact/benefit of rebate provided by Central Sector Utilities like NTPC, NHPC, PGCIL on account of </w:t>
      </w:r>
      <w:proofErr w:type="spellStart"/>
      <w:r w:rsidRPr="00781608">
        <w:rPr>
          <w:rFonts w:asciiTheme="minorHAnsi" w:eastAsia="Times New Roman" w:hAnsiTheme="minorHAnsi" w:cstheme="minorHAnsi"/>
          <w:sz w:val="24"/>
          <w:szCs w:val="24"/>
        </w:rPr>
        <w:t>GoI</w:t>
      </w:r>
      <w:proofErr w:type="spellEnd"/>
      <w:r w:rsidRPr="00781608">
        <w:rPr>
          <w:rFonts w:asciiTheme="minorHAnsi" w:eastAsia="Times New Roman" w:hAnsiTheme="minorHAnsi" w:cstheme="minorHAnsi"/>
          <w:sz w:val="24"/>
          <w:szCs w:val="24"/>
        </w:rPr>
        <w:t xml:space="preserve"> Policy to provide relief during COVID-19 have been considered. </w:t>
      </w:r>
    </w:p>
    <w:p w14:paraId="2296E054" w14:textId="77777777" w:rsidR="007A41A6" w:rsidRPr="00781608" w:rsidRDefault="007A41A6" w:rsidP="00E85684">
      <w:pPr>
        <w:pStyle w:val="ListParagraph"/>
        <w:spacing w:line="276" w:lineRule="auto"/>
        <w:ind w:firstLine="720"/>
        <w:jc w:val="both"/>
        <w:rPr>
          <w:rFonts w:asciiTheme="minorHAnsi" w:eastAsia="Times New Roman" w:hAnsiTheme="minorHAnsi" w:cstheme="minorHAnsi"/>
          <w:b/>
          <w:bCs/>
          <w:sz w:val="24"/>
          <w:szCs w:val="24"/>
        </w:rPr>
      </w:pPr>
      <w:r w:rsidRPr="00781608">
        <w:rPr>
          <w:rFonts w:asciiTheme="minorHAnsi" w:eastAsia="Times New Roman" w:hAnsiTheme="minorHAnsi" w:cstheme="minorHAnsi"/>
          <w:b/>
          <w:bCs/>
          <w:sz w:val="24"/>
          <w:szCs w:val="24"/>
        </w:rPr>
        <w:t xml:space="preserve">Compliance: </w:t>
      </w:r>
    </w:p>
    <w:p w14:paraId="1128C857" w14:textId="77777777" w:rsidR="007A41A6" w:rsidRPr="00781608" w:rsidRDefault="007A41A6" w:rsidP="00E85684">
      <w:pPr>
        <w:pStyle w:val="ListParagraph"/>
        <w:spacing w:line="276" w:lineRule="auto"/>
        <w:ind w:left="1440"/>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 xml:space="preserve">The benefit of rebate provided by Central Sector utilities like NTPC &amp; PGCIL towards </w:t>
      </w:r>
      <w:r w:rsidR="009164C6" w:rsidRPr="00781608">
        <w:rPr>
          <w:rFonts w:asciiTheme="minorHAnsi" w:eastAsia="Times New Roman" w:hAnsiTheme="minorHAnsi" w:cstheme="minorHAnsi"/>
          <w:sz w:val="24"/>
          <w:szCs w:val="24"/>
        </w:rPr>
        <w:t>one-time</w:t>
      </w:r>
      <w:r w:rsidRPr="00781608">
        <w:rPr>
          <w:rFonts w:asciiTheme="minorHAnsi" w:eastAsia="Times New Roman" w:hAnsiTheme="minorHAnsi" w:cstheme="minorHAnsi"/>
          <w:sz w:val="24"/>
          <w:szCs w:val="24"/>
        </w:rPr>
        <w:t xml:space="preserve"> COVID-19 relief is considered in the working of FPPPA, additional surcharge </w:t>
      </w:r>
      <w:proofErr w:type="gramStart"/>
      <w:r w:rsidRPr="00781608">
        <w:rPr>
          <w:rFonts w:asciiTheme="minorHAnsi" w:eastAsia="Times New Roman" w:hAnsiTheme="minorHAnsi" w:cstheme="minorHAnsi"/>
          <w:sz w:val="24"/>
          <w:szCs w:val="24"/>
        </w:rPr>
        <w:t>and also</w:t>
      </w:r>
      <w:proofErr w:type="gramEnd"/>
      <w:r w:rsidRPr="00781608">
        <w:rPr>
          <w:rFonts w:asciiTheme="minorHAnsi" w:eastAsia="Times New Roman" w:hAnsiTheme="minorHAnsi" w:cstheme="minorHAnsi"/>
          <w:sz w:val="24"/>
          <w:szCs w:val="24"/>
        </w:rPr>
        <w:t xml:space="preserve"> considered in the Books of Account for FY 2020-21.</w:t>
      </w:r>
    </w:p>
    <w:p w14:paraId="649A7291" w14:textId="77777777" w:rsidR="007A41A6" w:rsidRPr="00781608" w:rsidRDefault="007A41A6" w:rsidP="00E85684">
      <w:pPr>
        <w:pStyle w:val="ydp360db5b4yiv6248630976msolistparagraph"/>
        <w:spacing w:beforeAutospacing="0" w:after="200" w:afterAutospacing="0" w:line="276" w:lineRule="auto"/>
        <w:ind w:left="1440"/>
        <w:jc w:val="both"/>
        <w:rPr>
          <w:rFonts w:asciiTheme="minorHAnsi" w:eastAsia="Times New Roman" w:hAnsiTheme="minorHAnsi" w:cstheme="minorHAnsi"/>
          <w:sz w:val="24"/>
          <w:szCs w:val="24"/>
        </w:rPr>
      </w:pPr>
    </w:p>
    <w:p w14:paraId="142A1106" w14:textId="77777777" w:rsidR="00602685" w:rsidRPr="00781608" w:rsidRDefault="00A56DF7" w:rsidP="00E85684">
      <w:pPr>
        <w:pStyle w:val="ydp360db5b4yiv6248630976msolistparagraph"/>
        <w:numPr>
          <w:ilvl w:val="0"/>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lastRenderedPageBreak/>
        <w:t>As regards the issue of impact on Non-Tariff Income due to prior period restatement of depreciation on assets funded through grants/consumer contribution, UGVCL should submit the following details:</w:t>
      </w:r>
    </w:p>
    <w:p w14:paraId="2CDBDFAF" w14:textId="07181D42" w:rsidR="00602685" w:rsidRDefault="00A56DF7" w:rsidP="00E85684">
      <w:pPr>
        <w:pStyle w:val="ydp360db5b4yiv6248630976msolistparagraph"/>
        <w:numPr>
          <w:ilvl w:val="1"/>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Depreciation charged in each year from FY 2005-06 to FY 2019-20 against assets funded through grants/consumer contribution, and allowed through ARR/</w:t>
      </w:r>
      <w:proofErr w:type="gramStart"/>
      <w:r w:rsidRPr="00781608">
        <w:rPr>
          <w:rFonts w:asciiTheme="minorHAnsi" w:eastAsia="Times New Roman" w:hAnsiTheme="minorHAnsi" w:cstheme="minorHAnsi"/>
          <w:sz w:val="24"/>
          <w:szCs w:val="24"/>
        </w:rPr>
        <w:t>Tariff;</w:t>
      </w:r>
      <w:proofErr w:type="gramEnd"/>
    </w:p>
    <w:p w14:paraId="1F1F4077" w14:textId="77777777" w:rsidR="007C1958" w:rsidRPr="007C1958" w:rsidRDefault="007C1958" w:rsidP="007C1958">
      <w:pPr>
        <w:pStyle w:val="ListParagraph"/>
        <w:spacing w:line="312" w:lineRule="auto"/>
        <w:ind w:left="1440"/>
        <w:jc w:val="both"/>
        <w:rPr>
          <w:rFonts w:asciiTheme="minorHAnsi" w:eastAsia="Times New Roman" w:hAnsiTheme="minorHAnsi" w:cstheme="minorHAnsi"/>
          <w:sz w:val="24"/>
          <w:szCs w:val="24"/>
        </w:rPr>
      </w:pPr>
      <w:r w:rsidRPr="007C1958">
        <w:rPr>
          <w:rFonts w:asciiTheme="minorHAnsi" w:eastAsia="Times New Roman" w:hAnsiTheme="minorHAnsi" w:cstheme="minorHAnsi"/>
          <w:b/>
          <w:sz w:val="24"/>
          <w:szCs w:val="24"/>
        </w:rPr>
        <w:t xml:space="preserve">Compliance: </w:t>
      </w:r>
      <w:r w:rsidRPr="007C1958">
        <w:rPr>
          <w:rFonts w:asciiTheme="minorHAnsi" w:eastAsia="Times New Roman" w:hAnsiTheme="minorHAnsi" w:cstheme="minorHAnsi"/>
          <w:sz w:val="24"/>
          <w:szCs w:val="24"/>
        </w:rPr>
        <w:t xml:space="preserve">Depreciation on the assets funded through grants/consumer contribution cannot be worked out separately as there is no bifurcation of the asset funded through grants /consumer contribution. The asset block comprises of the assets funded through company’s own funds, loans, </w:t>
      </w:r>
      <w:proofErr w:type="gramStart"/>
      <w:r w:rsidRPr="007C1958">
        <w:rPr>
          <w:rFonts w:asciiTheme="minorHAnsi" w:eastAsia="Times New Roman" w:hAnsiTheme="minorHAnsi" w:cstheme="minorHAnsi"/>
          <w:sz w:val="24"/>
          <w:szCs w:val="24"/>
        </w:rPr>
        <w:t>grants</w:t>
      </w:r>
      <w:proofErr w:type="gramEnd"/>
      <w:r w:rsidRPr="007C1958">
        <w:rPr>
          <w:rFonts w:asciiTheme="minorHAnsi" w:eastAsia="Times New Roman" w:hAnsiTheme="minorHAnsi" w:cstheme="minorHAnsi"/>
          <w:sz w:val="24"/>
          <w:szCs w:val="24"/>
        </w:rPr>
        <w:t xml:space="preserve"> and consumer contribution. It is practically difficult to bifurcate the assets as per the funding pattern. Hence depreciation on the assets funded through grants/consumer contribution cannot be worked out separately.</w:t>
      </w:r>
    </w:p>
    <w:p w14:paraId="432722DA" w14:textId="77777777" w:rsidR="007C1958" w:rsidRPr="00781608" w:rsidRDefault="007C1958" w:rsidP="007C1958">
      <w:pPr>
        <w:pStyle w:val="ydp360db5b4yiv6248630976msolistparagraph"/>
        <w:spacing w:beforeAutospacing="0" w:after="200" w:afterAutospacing="0" w:line="276" w:lineRule="auto"/>
        <w:ind w:left="1440"/>
        <w:jc w:val="both"/>
        <w:rPr>
          <w:rFonts w:asciiTheme="minorHAnsi" w:eastAsia="Times New Roman" w:hAnsiTheme="minorHAnsi" w:cstheme="minorHAnsi"/>
          <w:sz w:val="24"/>
          <w:szCs w:val="24"/>
        </w:rPr>
      </w:pPr>
    </w:p>
    <w:p w14:paraId="0A210183" w14:textId="29826AD1" w:rsidR="00602685" w:rsidRDefault="00A56DF7" w:rsidP="00E85684">
      <w:pPr>
        <w:pStyle w:val="ydp360db5b4yiv6248630976msolistparagraph"/>
        <w:numPr>
          <w:ilvl w:val="1"/>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Non-Tariff Income on account of deferred income in each year from FY 2005-06 to FY 2019-20 against assets funded through grants/consumer contribution, and considered in ARR/</w:t>
      </w:r>
      <w:proofErr w:type="gramStart"/>
      <w:r w:rsidRPr="00781608">
        <w:rPr>
          <w:rFonts w:asciiTheme="minorHAnsi" w:eastAsia="Times New Roman" w:hAnsiTheme="minorHAnsi" w:cstheme="minorHAnsi"/>
          <w:sz w:val="24"/>
          <w:szCs w:val="24"/>
        </w:rPr>
        <w:t>Tariff;</w:t>
      </w:r>
      <w:proofErr w:type="gramEnd"/>
    </w:p>
    <w:p w14:paraId="2FB81184" w14:textId="6DD82E4D" w:rsidR="007C1958" w:rsidRDefault="007C1958" w:rsidP="007C1958">
      <w:pPr>
        <w:pStyle w:val="ListParagraph"/>
        <w:spacing w:line="312" w:lineRule="auto"/>
        <w:ind w:left="1440"/>
        <w:jc w:val="both"/>
        <w:rPr>
          <w:rFonts w:asciiTheme="minorHAnsi" w:eastAsia="Times New Roman" w:hAnsiTheme="minorHAnsi" w:cstheme="minorHAnsi"/>
          <w:bCs/>
          <w:sz w:val="24"/>
          <w:szCs w:val="24"/>
        </w:rPr>
      </w:pPr>
      <w:r w:rsidRPr="007C1958">
        <w:rPr>
          <w:rFonts w:asciiTheme="minorHAnsi" w:eastAsia="Times New Roman" w:hAnsiTheme="minorHAnsi" w:cstheme="minorHAnsi"/>
          <w:b/>
          <w:sz w:val="24"/>
          <w:szCs w:val="24"/>
        </w:rPr>
        <w:t xml:space="preserve">Compliance: </w:t>
      </w:r>
      <w:r w:rsidRPr="007C1958">
        <w:rPr>
          <w:rFonts w:asciiTheme="minorHAnsi" w:eastAsia="Times New Roman" w:hAnsiTheme="minorHAnsi" w:cstheme="minorHAnsi"/>
          <w:bCs/>
          <w:sz w:val="24"/>
          <w:szCs w:val="24"/>
        </w:rPr>
        <w:t>Non-Tariff Income on account of deferred income in each year from FY 2005-06 to FY 2019-20 against assets funded through grants/consumer contribution, and considered in ARR/Tariff is as under:</w:t>
      </w:r>
    </w:p>
    <w:p w14:paraId="19753E14" w14:textId="77777777" w:rsidR="007C1958" w:rsidRPr="007C1958" w:rsidRDefault="007C1958" w:rsidP="007C1958">
      <w:pPr>
        <w:pStyle w:val="ListParagraph"/>
        <w:spacing w:line="312" w:lineRule="auto"/>
        <w:ind w:left="1440"/>
        <w:jc w:val="both"/>
        <w:rPr>
          <w:rFonts w:asciiTheme="minorHAnsi" w:eastAsia="Times New Roman" w:hAnsiTheme="minorHAnsi" w:cstheme="minorHAnsi"/>
          <w:sz w:val="24"/>
          <w:szCs w:val="24"/>
        </w:rPr>
      </w:pPr>
    </w:p>
    <w:tbl>
      <w:tblPr>
        <w:tblW w:w="5550" w:type="dxa"/>
        <w:jc w:val="center"/>
        <w:tblLayout w:type="fixed"/>
        <w:tblLook w:val="04A0" w:firstRow="1" w:lastRow="0" w:firstColumn="1" w:lastColumn="0" w:noHBand="0" w:noVBand="1"/>
      </w:tblPr>
      <w:tblGrid>
        <w:gridCol w:w="2151"/>
        <w:gridCol w:w="3399"/>
      </w:tblGrid>
      <w:tr w:rsidR="007C1958" w:rsidRPr="00D633A9" w14:paraId="7DC5C75C" w14:textId="77777777" w:rsidTr="007C1958">
        <w:trPr>
          <w:trHeight w:val="579"/>
          <w:jc w:val="center"/>
        </w:trPr>
        <w:tc>
          <w:tcPr>
            <w:tcW w:w="2151"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045AA491" w14:textId="63A2ECB3" w:rsidR="007C1958" w:rsidRPr="007C1958" w:rsidRDefault="007C1958" w:rsidP="007C1958">
            <w:pPr>
              <w:jc w:val="center"/>
              <w:rPr>
                <w:rFonts w:asciiTheme="minorHAnsi" w:eastAsia="Times New Roman" w:hAnsiTheme="minorHAnsi" w:cstheme="minorHAnsi"/>
                <w:b/>
                <w:bCs/>
                <w:sz w:val="24"/>
                <w:szCs w:val="24"/>
              </w:rPr>
            </w:pPr>
            <w:r w:rsidRPr="007C1958">
              <w:rPr>
                <w:rFonts w:asciiTheme="minorHAnsi" w:eastAsia="Times New Roman" w:hAnsiTheme="minorHAnsi" w:cstheme="minorHAnsi"/>
                <w:b/>
                <w:bCs/>
                <w:sz w:val="24"/>
                <w:szCs w:val="24"/>
              </w:rPr>
              <w:t>F</w:t>
            </w:r>
            <w:r>
              <w:rPr>
                <w:rFonts w:asciiTheme="minorHAnsi" w:eastAsia="Times New Roman" w:hAnsiTheme="minorHAnsi" w:cstheme="minorHAnsi"/>
                <w:b/>
                <w:bCs/>
                <w:sz w:val="24"/>
                <w:szCs w:val="24"/>
              </w:rPr>
              <w:t>inancial Year</w:t>
            </w:r>
          </w:p>
        </w:tc>
        <w:tc>
          <w:tcPr>
            <w:tcW w:w="3399"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43A0756E" w14:textId="548054BF" w:rsidR="007C1958" w:rsidRPr="007C1958" w:rsidRDefault="007C1958" w:rsidP="007C1958">
            <w:pPr>
              <w:jc w:val="center"/>
              <w:rPr>
                <w:rFonts w:asciiTheme="minorHAnsi" w:eastAsia="Times New Roman" w:hAnsiTheme="minorHAnsi" w:cstheme="minorHAnsi"/>
                <w:b/>
                <w:bCs/>
                <w:sz w:val="24"/>
                <w:szCs w:val="24"/>
              </w:rPr>
            </w:pPr>
            <w:r w:rsidRPr="007C1958">
              <w:rPr>
                <w:rFonts w:asciiTheme="minorHAnsi" w:eastAsia="Times New Roman" w:hAnsiTheme="minorHAnsi" w:cstheme="minorHAnsi"/>
                <w:b/>
                <w:bCs/>
                <w:sz w:val="24"/>
                <w:szCs w:val="24"/>
              </w:rPr>
              <w:t>Deferred revenue transferred to P&amp;L (Rs. In Crores)</w:t>
            </w:r>
          </w:p>
        </w:tc>
      </w:tr>
      <w:tr w:rsidR="007C1958" w:rsidRPr="00D633A9" w14:paraId="5A690BD5" w14:textId="77777777" w:rsidTr="007C1958">
        <w:trPr>
          <w:trHeight w:val="70"/>
          <w:jc w:val="center"/>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E22CA" w14:textId="77777777" w:rsidR="007C1958" w:rsidRPr="00D633A9" w:rsidRDefault="007C1958" w:rsidP="007C1958">
            <w:pPr>
              <w:jc w:val="center"/>
              <w:rPr>
                <w:rFonts w:asciiTheme="minorHAnsi" w:eastAsia="Times New Roman" w:hAnsiTheme="minorHAnsi" w:cstheme="minorHAnsi"/>
                <w:sz w:val="24"/>
                <w:szCs w:val="24"/>
              </w:rPr>
            </w:pPr>
            <w:r w:rsidRPr="00D633A9">
              <w:rPr>
                <w:rFonts w:asciiTheme="minorHAnsi" w:eastAsia="Times New Roman" w:hAnsiTheme="minorHAnsi" w:cstheme="minorHAnsi"/>
                <w:sz w:val="24"/>
                <w:szCs w:val="24"/>
              </w:rPr>
              <w:t>2005-06</w:t>
            </w:r>
          </w:p>
        </w:tc>
        <w:tc>
          <w:tcPr>
            <w:tcW w:w="3399" w:type="dxa"/>
            <w:tcBorders>
              <w:top w:val="single" w:sz="4" w:space="0" w:color="auto"/>
              <w:left w:val="nil"/>
              <w:bottom w:val="single" w:sz="4" w:space="0" w:color="auto"/>
              <w:right w:val="single" w:sz="4" w:space="0" w:color="auto"/>
            </w:tcBorders>
            <w:shd w:val="clear" w:color="auto" w:fill="auto"/>
            <w:noWrap/>
            <w:vAlign w:val="center"/>
          </w:tcPr>
          <w:p w14:paraId="2D09575B" w14:textId="77777777" w:rsidR="007C1958" w:rsidRPr="00D633A9" w:rsidRDefault="007C1958" w:rsidP="007C1958">
            <w:pPr>
              <w:jc w:val="center"/>
              <w:rPr>
                <w:rFonts w:asciiTheme="minorHAnsi" w:eastAsia="Times New Roman" w:hAnsiTheme="minorHAnsi" w:cstheme="minorHAnsi"/>
                <w:sz w:val="24"/>
                <w:szCs w:val="24"/>
              </w:rPr>
            </w:pPr>
            <w:r w:rsidRPr="00D633A9">
              <w:rPr>
                <w:rFonts w:asciiTheme="minorHAnsi" w:eastAsia="Times New Roman" w:hAnsiTheme="minorHAnsi" w:cstheme="minorHAnsi"/>
                <w:sz w:val="24"/>
                <w:szCs w:val="24"/>
              </w:rPr>
              <w:t xml:space="preserve">                 9.46 </w:t>
            </w:r>
          </w:p>
        </w:tc>
      </w:tr>
      <w:tr w:rsidR="007C1958" w:rsidRPr="00D633A9" w14:paraId="1C79F273" w14:textId="77777777" w:rsidTr="007C1958">
        <w:trPr>
          <w:trHeight w:val="282"/>
          <w:jc w:val="center"/>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7D90D" w14:textId="77777777" w:rsidR="007C1958" w:rsidRPr="00D633A9" w:rsidRDefault="007C1958" w:rsidP="007C1958">
            <w:pPr>
              <w:jc w:val="center"/>
              <w:rPr>
                <w:rFonts w:asciiTheme="minorHAnsi" w:eastAsia="Times New Roman" w:hAnsiTheme="minorHAnsi" w:cstheme="minorHAnsi"/>
                <w:sz w:val="24"/>
                <w:szCs w:val="24"/>
              </w:rPr>
            </w:pPr>
            <w:r w:rsidRPr="00D633A9">
              <w:rPr>
                <w:rFonts w:asciiTheme="minorHAnsi" w:eastAsia="Times New Roman" w:hAnsiTheme="minorHAnsi" w:cstheme="minorHAnsi"/>
                <w:sz w:val="24"/>
                <w:szCs w:val="24"/>
              </w:rPr>
              <w:t>2006-07</w:t>
            </w:r>
          </w:p>
        </w:tc>
        <w:tc>
          <w:tcPr>
            <w:tcW w:w="3399" w:type="dxa"/>
            <w:tcBorders>
              <w:top w:val="single" w:sz="4" w:space="0" w:color="auto"/>
              <w:left w:val="nil"/>
              <w:bottom w:val="single" w:sz="4" w:space="0" w:color="auto"/>
              <w:right w:val="single" w:sz="4" w:space="0" w:color="auto"/>
            </w:tcBorders>
            <w:shd w:val="clear" w:color="auto" w:fill="auto"/>
            <w:noWrap/>
            <w:vAlign w:val="center"/>
          </w:tcPr>
          <w:p w14:paraId="614E8610" w14:textId="77777777" w:rsidR="007C1958" w:rsidRPr="00D633A9" w:rsidRDefault="007C1958" w:rsidP="007C1958">
            <w:pPr>
              <w:jc w:val="center"/>
              <w:rPr>
                <w:rFonts w:asciiTheme="minorHAnsi" w:eastAsia="Times New Roman" w:hAnsiTheme="minorHAnsi" w:cstheme="minorHAnsi"/>
                <w:sz w:val="24"/>
                <w:szCs w:val="24"/>
              </w:rPr>
            </w:pPr>
            <w:r w:rsidRPr="00D633A9">
              <w:rPr>
                <w:rFonts w:asciiTheme="minorHAnsi" w:eastAsia="Times New Roman" w:hAnsiTheme="minorHAnsi" w:cstheme="minorHAnsi"/>
                <w:sz w:val="24"/>
                <w:szCs w:val="24"/>
              </w:rPr>
              <w:t xml:space="preserve">               21.51 </w:t>
            </w:r>
          </w:p>
        </w:tc>
      </w:tr>
      <w:tr w:rsidR="007C1958" w:rsidRPr="00D633A9" w14:paraId="2DF264D7" w14:textId="77777777" w:rsidTr="007C1958">
        <w:trPr>
          <w:trHeight w:val="282"/>
          <w:jc w:val="center"/>
        </w:trPr>
        <w:tc>
          <w:tcPr>
            <w:tcW w:w="2151" w:type="dxa"/>
            <w:tcBorders>
              <w:top w:val="nil"/>
              <w:left w:val="single" w:sz="4" w:space="0" w:color="auto"/>
              <w:bottom w:val="single" w:sz="4" w:space="0" w:color="auto"/>
              <w:right w:val="single" w:sz="4" w:space="0" w:color="auto"/>
            </w:tcBorders>
            <w:shd w:val="clear" w:color="auto" w:fill="auto"/>
            <w:noWrap/>
            <w:vAlign w:val="center"/>
            <w:hideMark/>
          </w:tcPr>
          <w:p w14:paraId="0D56E911" w14:textId="77777777" w:rsidR="007C1958" w:rsidRPr="00D633A9" w:rsidRDefault="007C1958" w:rsidP="007C1958">
            <w:pPr>
              <w:jc w:val="center"/>
              <w:rPr>
                <w:rFonts w:asciiTheme="minorHAnsi" w:eastAsia="Times New Roman" w:hAnsiTheme="minorHAnsi" w:cstheme="minorHAnsi"/>
                <w:sz w:val="24"/>
                <w:szCs w:val="24"/>
              </w:rPr>
            </w:pPr>
            <w:r w:rsidRPr="00D633A9">
              <w:rPr>
                <w:rFonts w:asciiTheme="minorHAnsi" w:eastAsia="Times New Roman" w:hAnsiTheme="minorHAnsi" w:cstheme="minorHAnsi"/>
                <w:sz w:val="24"/>
                <w:szCs w:val="24"/>
              </w:rPr>
              <w:t>2007-08</w:t>
            </w:r>
          </w:p>
        </w:tc>
        <w:tc>
          <w:tcPr>
            <w:tcW w:w="3399" w:type="dxa"/>
            <w:tcBorders>
              <w:top w:val="nil"/>
              <w:left w:val="nil"/>
              <w:bottom w:val="single" w:sz="4" w:space="0" w:color="auto"/>
              <w:right w:val="single" w:sz="4" w:space="0" w:color="auto"/>
            </w:tcBorders>
            <w:shd w:val="clear" w:color="auto" w:fill="auto"/>
            <w:noWrap/>
            <w:vAlign w:val="center"/>
          </w:tcPr>
          <w:p w14:paraId="5A37E8FF" w14:textId="77777777" w:rsidR="007C1958" w:rsidRPr="00D633A9" w:rsidRDefault="007C1958" w:rsidP="007C1958">
            <w:pPr>
              <w:jc w:val="center"/>
              <w:rPr>
                <w:rFonts w:asciiTheme="minorHAnsi" w:eastAsia="Times New Roman" w:hAnsiTheme="minorHAnsi" w:cstheme="minorHAnsi"/>
                <w:sz w:val="24"/>
                <w:szCs w:val="24"/>
              </w:rPr>
            </w:pPr>
            <w:r w:rsidRPr="00D633A9">
              <w:rPr>
                <w:rFonts w:asciiTheme="minorHAnsi" w:eastAsia="Times New Roman" w:hAnsiTheme="minorHAnsi" w:cstheme="minorHAnsi"/>
                <w:sz w:val="24"/>
                <w:szCs w:val="24"/>
              </w:rPr>
              <w:t xml:space="preserve">               26.69 </w:t>
            </w:r>
          </w:p>
        </w:tc>
      </w:tr>
      <w:tr w:rsidR="007C1958" w:rsidRPr="00D633A9" w14:paraId="55C5F770" w14:textId="77777777" w:rsidTr="007C1958">
        <w:trPr>
          <w:trHeight w:val="282"/>
          <w:jc w:val="center"/>
        </w:trPr>
        <w:tc>
          <w:tcPr>
            <w:tcW w:w="2151" w:type="dxa"/>
            <w:tcBorders>
              <w:top w:val="nil"/>
              <w:left w:val="single" w:sz="4" w:space="0" w:color="auto"/>
              <w:bottom w:val="single" w:sz="4" w:space="0" w:color="auto"/>
              <w:right w:val="single" w:sz="4" w:space="0" w:color="auto"/>
            </w:tcBorders>
            <w:shd w:val="clear" w:color="auto" w:fill="auto"/>
            <w:noWrap/>
            <w:vAlign w:val="center"/>
            <w:hideMark/>
          </w:tcPr>
          <w:p w14:paraId="47135CA7" w14:textId="77777777" w:rsidR="007C1958" w:rsidRPr="00D633A9" w:rsidRDefault="007C1958" w:rsidP="007C1958">
            <w:pPr>
              <w:jc w:val="center"/>
              <w:rPr>
                <w:rFonts w:asciiTheme="minorHAnsi" w:eastAsia="Times New Roman" w:hAnsiTheme="minorHAnsi" w:cstheme="minorHAnsi"/>
                <w:sz w:val="24"/>
                <w:szCs w:val="24"/>
              </w:rPr>
            </w:pPr>
            <w:r w:rsidRPr="00D633A9">
              <w:rPr>
                <w:rFonts w:asciiTheme="minorHAnsi" w:eastAsia="Times New Roman" w:hAnsiTheme="minorHAnsi" w:cstheme="minorHAnsi"/>
                <w:sz w:val="24"/>
                <w:szCs w:val="24"/>
              </w:rPr>
              <w:t>2008-09</w:t>
            </w:r>
          </w:p>
        </w:tc>
        <w:tc>
          <w:tcPr>
            <w:tcW w:w="3399" w:type="dxa"/>
            <w:tcBorders>
              <w:top w:val="nil"/>
              <w:left w:val="nil"/>
              <w:bottom w:val="single" w:sz="4" w:space="0" w:color="auto"/>
              <w:right w:val="single" w:sz="4" w:space="0" w:color="auto"/>
            </w:tcBorders>
            <w:shd w:val="clear" w:color="auto" w:fill="auto"/>
            <w:noWrap/>
            <w:vAlign w:val="center"/>
          </w:tcPr>
          <w:p w14:paraId="4CD6569F" w14:textId="77777777" w:rsidR="007C1958" w:rsidRPr="00D633A9" w:rsidRDefault="007C1958" w:rsidP="007C1958">
            <w:pPr>
              <w:jc w:val="center"/>
              <w:rPr>
                <w:rFonts w:asciiTheme="minorHAnsi" w:eastAsia="Times New Roman" w:hAnsiTheme="minorHAnsi" w:cstheme="minorHAnsi"/>
                <w:sz w:val="24"/>
                <w:szCs w:val="24"/>
              </w:rPr>
            </w:pPr>
            <w:r w:rsidRPr="00D633A9">
              <w:rPr>
                <w:rFonts w:asciiTheme="minorHAnsi" w:eastAsia="Times New Roman" w:hAnsiTheme="minorHAnsi" w:cstheme="minorHAnsi"/>
                <w:sz w:val="24"/>
                <w:szCs w:val="24"/>
              </w:rPr>
              <w:t xml:space="preserve">               35.65 </w:t>
            </w:r>
          </w:p>
        </w:tc>
      </w:tr>
      <w:tr w:rsidR="007C1958" w:rsidRPr="00D633A9" w14:paraId="1422A5A6" w14:textId="77777777" w:rsidTr="007C1958">
        <w:trPr>
          <w:trHeight w:val="282"/>
          <w:jc w:val="center"/>
        </w:trPr>
        <w:tc>
          <w:tcPr>
            <w:tcW w:w="2151" w:type="dxa"/>
            <w:tcBorders>
              <w:top w:val="nil"/>
              <w:left w:val="single" w:sz="4" w:space="0" w:color="auto"/>
              <w:bottom w:val="single" w:sz="4" w:space="0" w:color="auto"/>
              <w:right w:val="single" w:sz="4" w:space="0" w:color="auto"/>
            </w:tcBorders>
            <w:shd w:val="clear" w:color="auto" w:fill="auto"/>
            <w:noWrap/>
            <w:vAlign w:val="center"/>
            <w:hideMark/>
          </w:tcPr>
          <w:p w14:paraId="26B2702F" w14:textId="77777777" w:rsidR="007C1958" w:rsidRPr="00D633A9" w:rsidRDefault="007C1958" w:rsidP="007C1958">
            <w:pPr>
              <w:jc w:val="center"/>
              <w:rPr>
                <w:rFonts w:asciiTheme="minorHAnsi" w:eastAsia="Times New Roman" w:hAnsiTheme="minorHAnsi" w:cstheme="minorHAnsi"/>
                <w:sz w:val="24"/>
                <w:szCs w:val="24"/>
              </w:rPr>
            </w:pPr>
            <w:r w:rsidRPr="00D633A9">
              <w:rPr>
                <w:rFonts w:asciiTheme="minorHAnsi" w:eastAsia="Times New Roman" w:hAnsiTheme="minorHAnsi" w:cstheme="minorHAnsi"/>
                <w:sz w:val="24"/>
                <w:szCs w:val="24"/>
              </w:rPr>
              <w:t>2009-10</w:t>
            </w:r>
          </w:p>
        </w:tc>
        <w:tc>
          <w:tcPr>
            <w:tcW w:w="3399" w:type="dxa"/>
            <w:tcBorders>
              <w:top w:val="nil"/>
              <w:left w:val="nil"/>
              <w:bottom w:val="single" w:sz="4" w:space="0" w:color="auto"/>
              <w:right w:val="single" w:sz="4" w:space="0" w:color="auto"/>
            </w:tcBorders>
            <w:shd w:val="clear" w:color="auto" w:fill="auto"/>
            <w:noWrap/>
            <w:vAlign w:val="center"/>
          </w:tcPr>
          <w:p w14:paraId="26869584" w14:textId="77777777" w:rsidR="007C1958" w:rsidRPr="00D633A9" w:rsidRDefault="007C1958" w:rsidP="007C1958">
            <w:pPr>
              <w:jc w:val="center"/>
              <w:rPr>
                <w:rFonts w:asciiTheme="minorHAnsi" w:eastAsia="Times New Roman" w:hAnsiTheme="minorHAnsi" w:cstheme="minorHAnsi"/>
                <w:sz w:val="24"/>
                <w:szCs w:val="24"/>
              </w:rPr>
            </w:pPr>
            <w:r w:rsidRPr="00D633A9">
              <w:rPr>
                <w:rFonts w:asciiTheme="minorHAnsi" w:eastAsia="Times New Roman" w:hAnsiTheme="minorHAnsi" w:cstheme="minorHAnsi"/>
                <w:sz w:val="24"/>
                <w:szCs w:val="24"/>
              </w:rPr>
              <w:t xml:space="preserve">               47.38 </w:t>
            </w:r>
          </w:p>
        </w:tc>
      </w:tr>
      <w:tr w:rsidR="007C1958" w:rsidRPr="00D633A9" w14:paraId="7164C2B0" w14:textId="77777777" w:rsidTr="007C1958">
        <w:trPr>
          <w:trHeight w:val="282"/>
          <w:jc w:val="center"/>
        </w:trPr>
        <w:tc>
          <w:tcPr>
            <w:tcW w:w="2151" w:type="dxa"/>
            <w:tcBorders>
              <w:top w:val="nil"/>
              <w:left w:val="single" w:sz="4" w:space="0" w:color="auto"/>
              <w:bottom w:val="single" w:sz="4" w:space="0" w:color="auto"/>
              <w:right w:val="single" w:sz="4" w:space="0" w:color="auto"/>
            </w:tcBorders>
            <w:shd w:val="clear" w:color="auto" w:fill="auto"/>
            <w:noWrap/>
            <w:vAlign w:val="center"/>
            <w:hideMark/>
          </w:tcPr>
          <w:p w14:paraId="103989BB" w14:textId="77777777" w:rsidR="007C1958" w:rsidRPr="00D633A9" w:rsidRDefault="007C1958" w:rsidP="007C1958">
            <w:pPr>
              <w:jc w:val="center"/>
              <w:rPr>
                <w:rFonts w:asciiTheme="minorHAnsi" w:eastAsia="Times New Roman" w:hAnsiTheme="minorHAnsi" w:cstheme="minorHAnsi"/>
                <w:sz w:val="24"/>
                <w:szCs w:val="24"/>
              </w:rPr>
            </w:pPr>
            <w:r w:rsidRPr="00D633A9">
              <w:rPr>
                <w:rFonts w:asciiTheme="minorHAnsi" w:eastAsia="Times New Roman" w:hAnsiTheme="minorHAnsi" w:cstheme="minorHAnsi"/>
                <w:sz w:val="24"/>
                <w:szCs w:val="24"/>
              </w:rPr>
              <w:t>2010-11</w:t>
            </w:r>
          </w:p>
        </w:tc>
        <w:tc>
          <w:tcPr>
            <w:tcW w:w="3399" w:type="dxa"/>
            <w:tcBorders>
              <w:top w:val="nil"/>
              <w:left w:val="nil"/>
              <w:bottom w:val="single" w:sz="4" w:space="0" w:color="auto"/>
              <w:right w:val="single" w:sz="4" w:space="0" w:color="auto"/>
            </w:tcBorders>
            <w:shd w:val="clear" w:color="auto" w:fill="auto"/>
            <w:noWrap/>
            <w:vAlign w:val="center"/>
          </w:tcPr>
          <w:p w14:paraId="0A6575CC" w14:textId="77777777" w:rsidR="007C1958" w:rsidRPr="00D633A9" w:rsidRDefault="007C1958" w:rsidP="007C1958">
            <w:pPr>
              <w:jc w:val="center"/>
              <w:rPr>
                <w:rFonts w:asciiTheme="minorHAnsi" w:eastAsia="Times New Roman" w:hAnsiTheme="minorHAnsi" w:cstheme="minorHAnsi"/>
                <w:sz w:val="24"/>
                <w:szCs w:val="24"/>
              </w:rPr>
            </w:pPr>
            <w:r w:rsidRPr="00D633A9">
              <w:rPr>
                <w:rFonts w:asciiTheme="minorHAnsi" w:eastAsia="Times New Roman" w:hAnsiTheme="minorHAnsi" w:cstheme="minorHAnsi"/>
                <w:sz w:val="24"/>
                <w:szCs w:val="24"/>
              </w:rPr>
              <w:t xml:space="preserve">               55.64 </w:t>
            </w:r>
          </w:p>
        </w:tc>
      </w:tr>
      <w:tr w:rsidR="007C1958" w:rsidRPr="00D633A9" w14:paraId="5271C1BA" w14:textId="77777777" w:rsidTr="007C1958">
        <w:trPr>
          <w:trHeight w:val="282"/>
          <w:jc w:val="center"/>
        </w:trPr>
        <w:tc>
          <w:tcPr>
            <w:tcW w:w="2151" w:type="dxa"/>
            <w:tcBorders>
              <w:top w:val="nil"/>
              <w:left w:val="single" w:sz="4" w:space="0" w:color="auto"/>
              <w:bottom w:val="single" w:sz="4" w:space="0" w:color="auto"/>
              <w:right w:val="single" w:sz="4" w:space="0" w:color="auto"/>
            </w:tcBorders>
            <w:shd w:val="clear" w:color="auto" w:fill="auto"/>
            <w:noWrap/>
            <w:vAlign w:val="center"/>
            <w:hideMark/>
          </w:tcPr>
          <w:p w14:paraId="418DC0E4" w14:textId="77777777" w:rsidR="007C1958" w:rsidRPr="00D633A9" w:rsidRDefault="007C1958" w:rsidP="007C1958">
            <w:pPr>
              <w:jc w:val="center"/>
              <w:rPr>
                <w:rFonts w:asciiTheme="minorHAnsi" w:eastAsia="Times New Roman" w:hAnsiTheme="minorHAnsi" w:cstheme="minorHAnsi"/>
                <w:sz w:val="24"/>
                <w:szCs w:val="24"/>
              </w:rPr>
            </w:pPr>
            <w:r w:rsidRPr="00D633A9">
              <w:rPr>
                <w:rFonts w:asciiTheme="minorHAnsi" w:eastAsia="Times New Roman" w:hAnsiTheme="minorHAnsi" w:cstheme="minorHAnsi"/>
                <w:sz w:val="24"/>
                <w:szCs w:val="24"/>
              </w:rPr>
              <w:t>2011-12</w:t>
            </w:r>
          </w:p>
        </w:tc>
        <w:tc>
          <w:tcPr>
            <w:tcW w:w="3399" w:type="dxa"/>
            <w:tcBorders>
              <w:top w:val="nil"/>
              <w:left w:val="nil"/>
              <w:bottom w:val="single" w:sz="4" w:space="0" w:color="auto"/>
              <w:right w:val="single" w:sz="4" w:space="0" w:color="auto"/>
            </w:tcBorders>
            <w:shd w:val="clear" w:color="auto" w:fill="auto"/>
            <w:noWrap/>
            <w:vAlign w:val="center"/>
          </w:tcPr>
          <w:p w14:paraId="762DB47B" w14:textId="77777777" w:rsidR="007C1958" w:rsidRPr="00D633A9" w:rsidRDefault="007C1958" w:rsidP="007C1958">
            <w:pPr>
              <w:jc w:val="center"/>
              <w:rPr>
                <w:rFonts w:asciiTheme="minorHAnsi" w:eastAsia="Times New Roman" w:hAnsiTheme="minorHAnsi" w:cstheme="minorHAnsi"/>
                <w:sz w:val="24"/>
                <w:szCs w:val="24"/>
              </w:rPr>
            </w:pPr>
            <w:r w:rsidRPr="00D633A9">
              <w:rPr>
                <w:rFonts w:asciiTheme="minorHAnsi" w:eastAsia="Times New Roman" w:hAnsiTheme="minorHAnsi" w:cstheme="minorHAnsi"/>
                <w:sz w:val="24"/>
                <w:szCs w:val="24"/>
              </w:rPr>
              <w:t xml:space="preserve">               65.78 </w:t>
            </w:r>
          </w:p>
        </w:tc>
      </w:tr>
      <w:tr w:rsidR="007C1958" w:rsidRPr="00D633A9" w14:paraId="3D89C788" w14:textId="77777777" w:rsidTr="007C1958">
        <w:trPr>
          <w:trHeight w:val="282"/>
          <w:jc w:val="center"/>
        </w:trPr>
        <w:tc>
          <w:tcPr>
            <w:tcW w:w="2151" w:type="dxa"/>
            <w:tcBorders>
              <w:top w:val="nil"/>
              <w:left w:val="single" w:sz="4" w:space="0" w:color="auto"/>
              <w:bottom w:val="single" w:sz="4" w:space="0" w:color="auto"/>
              <w:right w:val="single" w:sz="4" w:space="0" w:color="auto"/>
            </w:tcBorders>
            <w:shd w:val="clear" w:color="auto" w:fill="auto"/>
            <w:noWrap/>
            <w:vAlign w:val="center"/>
            <w:hideMark/>
          </w:tcPr>
          <w:p w14:paraId="7121DDE6" w14:textId="77777777" w:rsidR="007C1958" w:rsidRPr="00D633A9" w:rsidRDefault="007C1958" w:rsidP="007C1958">
            <w:pPr>
              <w:jc w:val="center"/>
              <w:rPr>
                <w:rFonts w:asciiTheme="minorHAnsi" w:eastAsia="Times New Roman" w:hAnsiTheme="minorHAnsi" w:cstheme="minorHAnsi"/>
                <w:sz w:val="24"/>
                <w:szCs w:val="24"/>
              </w:rPr>
            </w:pPr>
            <w:r w:rsidRPr="00D633A9">
              <w:rPr>
                <w:rFonts w:asciiTheme="minorHAnsi" w:eastAsia="Times New Roman" w:hAnsiTheme="minorHAnsi" w:cstheme="minorHAnsi"/>
                <w:sz w:val="24"/>
                <w:szCs w:val="24"/>
              </w:rPr>
              <w:t>2012-13</w:t>
            </w:r>
          </w:p>
        </w:tc>
        <w:tc>
          <w:tcPr>
            <w:tcW w:w="3399" w:type="dxa"/>
            <w:tcBorders>
              <w:top w:val="nil"/>
              <w:left w:val="nil"/>
              <w:bottom w:val="single" w:sz="4" w:space="0" w:color="auto"/>
              <w:right w:val="single" w:sz="4" w:space="0" w:color="auto"/>
            </w:tcBorders>
            <w:shd w:val="clear" w:color="auto" w:fill="auto"/>
            <w:noWrap/>
            <w:vAlign w:val="center"/>
          </w:tcPr>
          <w:p w14:paraId="3B4ABEE2" w14:textId="77777777" w:rsidR="007C1958" w:rsidRPr="00D633A9" w:rsidRDefault="007C1958" w:rsidP="007C1958">
            <w:pPr>
              <w:jc w:val="center"/>
              <w:rPr>
                <w:rFonts w:asciiTheme="minorHAnsi" w:eastAsia="Times New Roman" w:hAnsiTheme="minorHAnsi" w:cstheme="minorHAnsi"/>
                <w:sz w:val="24"/>
                <w:szCs w:val="24"/>
              </w:rPr>
            </w:pPr>
            <w:r w:rsidRPr="00D633A9">
              <w:rPr>
                <w:rFonts w:asciiTheme="minorHAnsi" w:eastAsia="Times New Roman" w:hAnsiTheme="minorHAnsi" w:cstheme="minorHAnsi"/>
                <w:sz w:val="24"/>
                <w:szCs w:val="24"/>
              </w:rPr>
              <w:t xml:space="preserve">               79.68 </w:t>
            </w:r>
          </w:p>
        </w:tc>
      </w:tr>
      <w:tr w:rsidR="007C1958" w:rsidRPr="00D633A9" w14:paraId="260D5343" w14:textId="77777777" w:rsidTr="007C1958">
        <w:trPr>
          <w:trHeight w:val="282"/>
          <w:jc w:val="center"/>
        </w:trPr>
        <w:tc>
          <w:tcPr>
            <w:tcW w:w="2151" w:type="dxa"/>
            <w:tcBorders>
              <w:top w:val="nil"/>
              <w:left w:val="single" w:sz="4" w:space="0" w:color="auto"/>
              <w:bottom w:val="single" w:sz="4" w:space="0" w:color="auto"/>
              <w:right w:val="single" w:sz="4" w:space="0" w:color="auto"/>
            </w:tcBorders>
            <w:shd w:val="clear" w:color="auto" w:fill="auto"/>
            <w:noWrap/>
            <w:vAlign w:val="center"/>
            <w:hideMark/>
          </w:tcPr>
          <w:p w14:paraId="69B887AB" w14:textId="77777777" w:rsidR="007C1958" w:rsidRPr="00D633A9" w:rsidRDefault="007C1958" w:rsidP="007C1958">
            <w:pPr>
              <w:jc w:val="center"/>
              <w:rPr>
                <w:rFonts w:asciiTheme="minorHAnsi" w:eastAsia="Times New Roman" w:hAnsiTheme="minorHAnsi" w:cstheme="minorHAnsi"/>
                <w:sz w:val="24"/>
                <w:szCs w:val="24"/>
              </w:rPr>
            </w:pPr>
            <w:r w:rsidRPr="00D633A9">
              <w:rPr>
                <w:rFonts w:asciiTheme="minorHAnsi" w:eastAsia="Times New Roman" w:hAnsiTheme="minorHAnsi" w:cstheme="minorHAnsi"/>
                <w:sz w:val="24"/>
                <w:szCs w:val="24"/>
              </w:rPr>
              <w:t>2013-14</w:t>
            </w:r>
          </w:p>
        </w:tc>
        <w:tc>
          <w:tcPr>
            <w:tcW w:w="3399" w:type="dxa"/>
            <w:tcBorders>
              <w:top w:val="nil"/>
              <w:left w:val="nil"/>
              <w:bottom w:val="single" w:sz="4" w:space="0" w:color="auto"/>
              <w:right w:val="single" w:sz="4" w:space="0" w:color="auto"/>
            </w:tcBorders>
            <w:shd w:val="clear" w:color="auto" w:fill="auto"/>
            <w:noWrap/>
            <w:vAlign w:val="center"/>
          </w:tcPr>
          <w:p w14:paraId="67398E19" w14:textId="77777777" w:rsidR="007C1958" w:rsidRPr="00D633A9" w:rsidRDefault="007C1958" w:rsidP="007C1958">
            <w:pPr>
              <w:jc w:val="center"/>
              <w:rPr>
                <w:rFonts w:asciiTheme="minorHAnsi" w:eastAsia="Times New Roman" w:hAnsiTheme="minorHAnsi" w:cstheme="minorHAnsi"/>
                <w:sz w:val="24"/>
                <w:szCs w:val="24"/>
              </w:rPr>
            </w:pPr>
            <w:r w:rsidRPr="00D633A9">
              <w:rPr>
                <w:rFonts w:asciiTheme="minorHAnsi" w:eastAsia="Times New Roman" w:hAnsiTheme="minorHAnsi" w:cstheme="minorHAnsi"/>
                <w:sz w:val="24"/>
                <w:szCs w:val="24"/>
              </w:rPr>
              <w:t xml:space="preserve">               93.72 </w:t>
            </w:r>
          </w:p>
        </w:tc>
      </w:tr>
      <w:tr w:rsidR="007C1958" w:rsidRPr="00D633A9" w14:paraId="5D2F788D" w14:textId="77777777" w:rsidTr="007C1958">
        <w:trPr>
          <w:trHeight w:val="282"/>
          <w:jc w:val="center"/>
        </w:trPr>
        <w:tc>
          <w:tcPr>
            <w:tcW w:w="2151" w:type="dxa"/>
            <w:tcBorders>
              <w:top w:val="nil"/>
              <w:left w:val="single" w:sz="4" w:space="0" w:color="auto"/>
              <w:bottom w:val="single" w:sz="4" w:space="0" w:color="auto"/>
              <w:right w:val="single" w:sz="4" w:space="0" w:color="auto"/>
            </w:tcBorders>
            <w:shd w:val="clear" w:color="auto" w:fill="auto"/>
            <w:noWrap/>
            <w:vAlign w:val="center"/>
            <w:hideMark/>
          </w:tcPr>
          <w:p w14:paraId="684006AE" w14:textId="77777777" w:rsidR="007C1958" w:rsidRPr="00D633A9" w:rsidRDefault="007C1958" w:rsidP="007C1958">
            <w:pPr>
              <w:jc w:val="center"/>
              <w:rPr>
                <w:rFonts w:asciiTheme="minorHAnsi" w:eastAsia="Times New Roman" w:hAnsiTheme="minorHAnsi" w:cstheme="minorHAnsi"/>
                <w:sz w:val="24"/>
                <w:szCs w:val="24"/>
              </w:rPr>
            </w:pPr>
            <w:r w:rsidRPr="00D633A9">
              <w:rPr>
                <w:rFonts w:asciiTheme="minorHAnsi" w:eastAsia="Times New Roman" w:hAnsiTheme="minorHAnsi" w:cstheme="minorHAnsi"/>
                <w:sz w:val="24"/>
                <w:szCs w:val="24"/>
              </w:rPr>
              <w:t>2014-15</w:t>
            </w:r>
          </w:p>
        </w:tc>
        <w:tc>
          <w:tcPr>
            <w:tcW w:w="3399" w:type="dxa"/>
            <w:tcBorders>
              <w:top w:val="nil"/>
              <w:left w:val="nil"/>
              <w:bottom w:val="single" w:sz="4" w:space="0" w:color="auto"/>
              <w:right w:val="single" w:sz="4" w:space="0" w:color="auto"/>
            </w:tcBorders>
            <w:shd w:val="clear" w:color="auto" w:fill="auto"/>
            <w:noWrap/>
            <w:vAlign w:val="center"/>
          </w:tcPr>
          <w:p w14:paraId="7B4D3D24" w14:textId="77777777" w:rsidR="007C1958" w:rsidRPr="00D633A9" w:rsidRDefault="007C1958" w:rsidP="007C1958">
            <w:pPr>
              <w:jc w:val="center"/>
              <w:rPr>
                <w:rFonts w:asciiTheme="minorHAnsi" w:eastAsia="Times New Roman" w:hAnsiTheme="minorHAnsi" w:cstheme="minorHAnsi"/>
                <w:sz w:val="24"/>
                <w:szCs w:val="24"/>
              </w:rPr>
            </w:pPr>
            <w:r w:rsidRPr="00D633A9">
              <w:rPr>
                <w:rFonts w:asciiTheme="minorHAnsi" w:eastAsia="Times New Roman" w:hAnsiTheme="minorHAnsi" w:cstheme="minorHAnsi"/>
                <w:sz w:val="24"/>
                <w:szCs w:val="24"/>
              </w:rPr>
              <w:t xml:space="preserve">             102.59 </w:t>
            </w:r>
          </w:p>
        </w:tc>
      </w:tr>
      <w:tr w:rsidR="007C1958" w:rsidRPr="00D633A9" w14:paraId="266ED219" w14:textId="77777777" w:rsidTr="007C1958">
        <w:trPr>
          <w:trHeight w:val="282"/>
          <w:jc w:val="center"/>
        </w:trPr>
        <w:tc>
          <w:tcPr>
            <w:tcW w:w="2151" w:type="dxa"/>
            <w:tcBorders>
              <w:top w:val="nil"/>
              <w:left w:val="single" w:sz="4" w:space="0" w:color="auto"/>
              <w:bottom w:val="single" w:sz="4" w:space="0" w:color="auto"/>
              <w:right w:val="single" w:sz="4" w:space="0" w:color="auto"/>
            </w:tcBorders>
            <w:shd w:val="clear" w:color="auto" w:fill="auto"/>
            <w:noWrap/>
            <w:vAlign w:val="center"/>
            <w:hideMark/>
          </w:tcPr>
          <w:p w14:paraId="01309769" w14:textId="77777777" w:rsidR="007C1958" w:rsidRPr="00D633A9" w:rsidRDefault="007C1958" w:rsidP="007C1958">
            <w:pPr>
              <w:jc w:val="center"/>
              <w:rPr>
                <w:rFonts w:asciiTheme="minorHAnsi" w:eastAsia="Times New Roman" w:hAnsiTheme="minorHAnsi" w:cstheme="minorHAnsi"/>
                <w:sz w:val="24"/>
                <w:szCs w:val="24"/>
              </w:rPr>
            </w:pPr>
            <w:r w:rsidRPr="00D633A9">
              <w:rPr>
                <w:rFonts w:asciiTheme="minorHAnsi" w:eastAsia="Times New Roman" w:hAnsiTheme="minorHAnsi" w:cstheme="minorHAnsi"/>
                <w:sz w:val="24"/>
                <w:szCs w:val="24"/>
              </w:rPr>
              <w:t>2015-16</w:t>
            </w:r>
          </w:p>
        </w:tc>
        <w:tc>
          <w:tcPr>
            <w:tcW w:w="3399" w:type="dxa"/>
            <w:tcBorders>
              <w:top w:val="nil"/>
              <w:left w:val="nil"/>
              <w:bottom w:val="single" w:sz="4" w:space="0" w:color="auto"/>
              <w:right w:val="single" w:sz="4" w:space="0" w:color="auto"/>
            </w:tcBorders>
            <w:shd w:val="clear" w:color="auto" w:fill="auto"/>
            <w:noWrap/>
            <w:vAlign w:val="center"/>
          </w:tcPr>
          <w:p w14:paraId="402D56FC" w14:textId="77777777" w:rsidR="007C1958" w:rsidRPr="00D633A9" w:rsidRDefault="007C1958" w:rsidP="007C1958">
            <w:pPr>
              <w:jc w:val="center"/>
              <w:rPr>
                <w:rFonts w:asciiTheme="minorHAnsi" w:eastAsia="Times New Roman" w:hAnsiTheme="minorHAnsi" w:cstheme="minorHAnsi"/>
                <w:sz w:val="24"/>
                <w:szCs w:val="24"/>
              </w:rPr>
            </w:pPr>
            <w:r w:rsidRPr="00D633A9">
              <w:rPr>
                <w:rFonts w:asciiTheme="minorHAnsi" w:eastAsia="Times New Roman" w:hAnsiTheme="minorHAnsi" w:cstheme="minorHAnsi"/>
                <w:sz w:val="24"/>
                <w:szCs w:val="24"/>
              </w:rPr>
              <w:t xml:space="preserve">             115.05 </w:t>
            </w:r>
          </w:p>
        </w:tc>
      </w:tr>
      <w:tr w:rsidR="007C1958" w:rsidRPr="00D633A9" w14:paraId="77744CA9" w14:textId="77777777" w:rsidTr="007C1958">
        <w:trPr>
          <w:trHeight w:val="282"/>
          <w:jc w:val="center"/>
        </w:trPr>
        <w:tc>
          <w:tcPr>
            <w:tcW w:w="2151" w:type="dxa"/>
            <w:tcBorders>
              <w:top w:val="nil"/>
              <w:left w:val="single" w:sz="4" w:space="0" w:color="auto"/>
              <w:bottom w:val="single" w:sz="4" w:space="0" w:color="auto"/>
              <w:right w:val="single" w:sz="4" w:space="0" w:color="auto"/>
            </w:tcBorders>
            <w:shd w:val="clear" w:color="auto" w:fill="auto"/>
            <w:noWrap/>
            <w:vAlign w:val="center"/>
            <w:hideMark/>
          </w:tcPr>
          <w:p w14:paraId="047ED224" w14:textId="77777777" w:rsidR="007C1958" w:rsidRPr="00D633A9" w:rsidRDefault="007C1958" w:rsidP="007C1958">
            <w:pPr>
              <w:jc w:val="center"/>
              <w:rPr>
                <w:rFonts w:asciiTheme="minorHAnsi" w:eastAsia="Times New Roman" w:hAnsiTheme="minorHAnsi" w:cstheme="minorHAnsi"/>
                <w:sz w:val="24"/>
                <w:szCs w:val="24"/>
              </w:rPr>
            </w:pPr>
            <w:r w:rsidRPr="00D633A9">
              <w:rPr>
                <w:rFonts w:asciiTheme="minorHAnsi" w:eastAsia="Times New Roman" w:hAnsiTheme="minorHAnsi" w:cstheme="minorHAnsi"/>
                <w:sz w:val="24"/>
                <w:szCs w:val="24"/>
              </w:rPr>
              <w:t>2016-17</w:t>
            </w:r>
          </w:p>
        </w:tc>
        <w:tc>
          <w:tcPr>
            <w:tcW w:w="3399" w:type="dxa"/>
            <w:tcBorders>
              <w:top w:val="nil"/>
              <w:left w:val="nil"/>
              <w:bottom w:val="single" w:sz="4" w:space="0" w:color="auto"/>
              <w:right w:val="single" w:sz="4" w:space="0" w:color="auto"/>
            </w:tcBorders>
            <w:shd w:val="clear" w:color="auto" w:fill="auto"/>
            <w:noWrap/>
            <w:vAlign w:val="center"/>
          </w:tcPr>
          <w:p w14:paraId="10506661" w14:textId="77777777" w:rsidR="007C1958" w:rsidRPr="00D633A9" w:rsidRDefault="007C1958" w:rsidP="007C1958">
            <w:pPr>
              <w:jc w:val="center"/>
              <w:rPr>
                <w:rFonts w:asciiTheme="minorHAnsi" w:eastAsia="Times New Roman" w:hAnsiTheme="minorHAnsi" w:cstheme="minorHAnsi"/>
                <w:sz w:val="24"/>
                <w:szCs w:val="24"/>
              </w:rPr>
            </w:pPr>
            <w:r w:rsidRPr="00D633A9">
              <w:rPr>
                <w:rFonts w:asciiTheme="minorHAnsi" w:eastAsia="Times New Roman" w:hAnsiTheme="minorHAnsi" w:cstheme="minorHAnsi"/>
                <w:sz w:val="24"/>
                <w:szCs w:val="24"/>
              </w:rPr>
              <w:t xml:space="preserve">               93.56 </w:t>
            </w:r>
          </w:p>
        </w:tc>
      </w:tr>
      <w:tr w:rsidR="007C1958" w:rsidRPr="00D633A9" w14:paraId="0466CE73" w14:textId="77777777" w:rsidTr="007C1958">
        <w:trPr>
          <w:trHeight w:val="282"/>
          <w:jc w:val="center"/>
        </w:trPr>
        <w:tc>
          <w:tcPr>
            <w:tcW w:w="2151" w:type="dxa"/>
            <w:tcBorders>
              <w:top w:val="nil"/>
              <w:left w:val="single" w:sz="4" w:space="0" w:color="auto"/>
              <w:bottom w:val="single" w:sz="4" w:space="0" w:color="auto"/>
              <w:right w:val="single" w:sz="4" w:space="0" w:color="auto"/>
            </w:tcBorders>
            <w:shd w:val="clear" w:color="auto" w:fill="auto"/>
            <w:noWrap/>
            <w:vAlign w:val="center"/>
            <w:hideMark/>
          </w:tcPr>
          <w:p w14:paraId="43ADDCCA" w14:textId="77777777" w:rsidR="007C1958" w:rsidRPr="00D633A9" w:rsidRDefault="007C1958" w:rsidP="007C1958">
            <w:pPr>
              <w:jc w:val="center"/>
              <w:rPr>
                <w:rFonts w:asciiTheme="minorHAnsi" w:eastAsia="Times New Roman" w:hAnsiTheme="minorHAnsi" w:cstheme="minorHAnsi"/>
                <w:sz w:val="24"/>
                <w:szCs w:val="24"/>
              </w:rPr>
            </w:pPr>
            <w:r w:rsidRPr="00D633A9">
              <w:rPr>
                <w:rFonts w:asciiTheme="minorHAnsi" w:eastAsia="Times New Roman" w:hAnsiTheme="minorHAnsi" w:cstheme="minorHAnsi"/>
                <w:sz w:val="24"/>
                <w:szCs w:val="24"/>
              </w:rPr>
              <w:t>2017-18</w:t>
            </w:r>
          </w:p>
        </w:tc>
        <w:tc>
          <w:tcPr>
            <w:tcW w:w="3399" w:type="dxa"/>
            <w:tcBorders>
              <w:top w:val="nil"/>
              <w:left w:val="nil"/>
              <w:bottom w:val="single" w:sz="4" w:space="0" w:color="auto"/>
              <w:right w:val="single" w:sz="4" w:space="0" w:color="auto"/>
            </w:tcBorders>
            <w:shd w:val="clear" w:color="auto" w:fill="auto"/>
            <w:noWrap/>
            <w:vAlign w:val="center"/>
          </w:tcPr>
          <w:p w14:paraId="7FFC12B6" w14:textId="77777777" w:rsidR="007C1958" w:rsidRPr="00D633A9" w:rsidRDefault="007C1958" w:rsidP="007C1958">
            <w:pPr>
              <w:jc w:val="center"/>
              <w:rPr>
                <w:rFonts w:asciiTheme="minorHAnsi" w:eastAsia="Times New Roman" w:hAnsiTheme="minorHAnsi" w:cstheme="minorHAnsi"/>
                <w:sz w:val="24"/>
                <w:szCs w:val="24"/>
              </w:rPr>
            </w:pPr>
            <w:r w:rsidRPr="00D633A9">
              <w:rPr>
                <w:rFonts w:asciiTheme="minorHAnsi" w:eastAsia="Times New Roman" w:hAnsiTheme="minorHAnsi" w:cstheme="minorHAnsi"/>
                <w:sz w:val="24"/>
                <w:szCs w:val="24"/>
              </w:rPr>
              <w:t xml:space="preserve">             101.54 </w:t>
            </w:r>
          </w:p>
        </w:tc>
      </w:tr>
      <w:tr w:rsidR="007C1958" w:rsidRPr="00D633A9" w14:paraId="549E5C10" w14:textId="77777777" w:rsidTr="007C1958">
        <w:trPr>
          <w:trHeight w:val="282"/>
          <w:jc w:val="center"/>
        </w:trPr>
        <w:tc>
          <w:tcPr>
            <w:tcW w:w="2151" w:type="dxa"/>
            <w:tcBorders>
              <w:top w:val="nil"/>
              <w:left w:val="single" w:sz="4" w:space="0" w:color="auto"/>
              <w:bottom w:val="single" w:sz="4" w:space="0" w:color="auto"/>
              <w:right w:val="single" w:sz="4" w:space="0" w:color="auto"/>
            </w:tcBorders>
            <w:shd w:val="clear" w:color="auto" w:fill="auto"/>
            <w:noWrap/>
            <w:vAlign w:val="center"/>
            <w:hideMark/>
          </w:tcPr>
          <w:p w14:paraId="770ACED7" w14:textId="77777777" w:rsidR="007C1958" w:rsidRPr="00D633A9" w:rsidRDefault="007C1958" w:rsidP="007C1958">
            <w:pPr>
              <w:jc w:val="center"/>
              <w:rPr>
                <w:rFonts w:asciiTheme="minorHAnsi" w:eastAsia="Times New Roman" w:hAnsiTheme="minorHAnsi" w:cstheme="minorHAnsi"/>
                <w:sz w:val="24"/>
                <w:szCs w:val="24"/>
              </w:rPr>
            </w:pPr>
            <w:r w:rsidRPr="00D633A9">
              <w:rPr>
                <w:rFonts w:asciiTheme="minorHAnsi" w:eastAsia="Times New Roman" w:hAnsiTheme="minorHAnsi" w:cstheme="minorHAnsi"/>
                <w:sz w:val="24"/>
                <w:szCs w:val="24"/>
              </w:rPr>
              <w:t>2018-19</w:t>
            </w:r>
          </w:p>
        </w:tc>
        <w:tc>
          <w:tcPr>
            <w:tcW w:w="3399" w:type="dxa"/>
            <w:tcBorders>
              <w:top w:val="nil"/>
              <w:left w:val="nil"/>
              <w:bottom w:val="single" w:sz="4" w:space="0" w:color="auto"/>
              <w:right w:val="single" w:sz="4" w:space="0" w:color="auto"/>
            </w:tcBorders>
            <w:shd w:val="clear" w:color="auto" w:fill="auto"/>
            <w:noWrap/>
            <w:vAlign w:val="center"/>
          </w:tcPr>
          <w:p w14:paraId="74AE0FBB" w14:textId="77777777" w:rsidR="007C1958" w:rsidRPr="00D633A9" w:rsidRDefault="007C1958" w:rsidP="007C1958">
            <w:pPr>
              <w:jc w:val="center"/>
              <w:rPr>
                <w:rFonts w:asciiTheme="minorHAnsi" w:eastAsia="Times New Roman" w:hAnsiTheme="minorHAnsi" w:cstheme="minorHAnsi"/>
                <w:sz w:val="24"/>
                <w:szCs w:val="24"/>
              </w:rPr>
            </w:pPr>
            <w:r w:rsidRPr="00D633A9">
              <w:rPr>
                <w:rFonts w:asciiTheme="minorHAnsi" w:eastAsia="Times New Roman" w:hAnsiTheme="minorHAnsi" w:cstheme="minorHAnsi"/>
                <w:sz w:val="24"/>
                <w:szCs w:val="24"/>
              </w:rPr>
              <w:t xml:space="preserve">             119.18 </w:t>
            </w:r>
          </w:p>
        </w:tc>
      </w:tr>
      <w:tr w:rsidR="007C1958" w:rsidRPr="00D633A9" w14:paraId="365ECC80" w14:textId="77777777" w:rsidTr="007C1958">
        <w:trPr>
          <w:trHeight w:val="282"/>
          <w:jc w:val="center"/>
        </w:trPr>
        <w:tc>
          <w:tcPr>
            <w:tcW w:w="2151" w:type="dxa"/>
            <w:tcBorders>
              <w:top w:val="nil"/>
              <w:left w:val="single" w:sz="4" w:space="0" w:color="auto"/>
              <w:bottom w:val="single" w:sz="4" w:space="0" w:color="auto"/>
              <w:right w:val="single" w:sz="4" w:space="0" w:color="auto"/>
            </w:tcBorders>
            <w:shd w:val="clear" w:color="auto" w:fill="auto"/>
            <w:noWrap/>
            <w:vAlign w:val="center"/>
            <w:hideMark/>
          </w:tcPr>
          <w:p w14:paraId="5A3EB7A4" w14:textId="77777777" w:rsidR="007C1958" w:rsidRPr="00D633A9" w:rsidRDefault="007C1958" w:rsidP="007C1958">
            <w:pPr>
              <w:jc w:val="center"/>
              <w:rPr>
                <w:rFonts w:asciiTheme="minorHAnsi" w:eastAsia="Times New Roman" w:hAnsiTheme="minorHAnsi" w:cstheme="minorHAnsi"/>
                <w:sz w:val="24"/>
                <w:szCs w:val="24"/>
              </w:rPr>
            </w:pPr>
            <w:r w:rsidRPr="00D633A9">
              <w:rPr>
                <w:rFonts w:asciiTheme="minorHAnsi" w:eastAsia="Times New Roman" w:hAnsiTheme="minorHAnsi" w:cstheme="minorHAnsi"/>
                <w:sz w:val="24"/>
                <w:szCs w:val="24"/>
              </w:rPr>
              <w:t>2019-20</w:t>
            </w:r>
          </w:p>
        </w:tc>
        <w:tc>
          <w:tcPr>
            <w:tcW w:w="3399" w:type="dxa"/>
            <w:tcBorders>
              <w:top w:val="nil"/>
              <w:left w:val="nil"/>
              <w:bottom w:val="single" w:sz="4" w:space="0" w:color="auto"/>
              <w:right w:val="single" w:sz="4" w:space="0" w:color="auto"/>
            </w:tcBorders>
            <w:shd w:val="clear" w:color="auto" w:fill="auto"/>
            <w:noWrap/>
            <w:vAlign w:val="center"/>
          </w:tcPr>
          <w:p w14:paraId="3317E2A6" w14:textId="77777777" w:rsidR="007C1958" w:rsidRPr="00D633A9" w:rsidRDefault="007C1958" w:rsidP="007C1958">
            <w:pPr>
              <w:jc w:val="center"/>
              <w:rPr>
                <w:rFonts w:asciiTheme="minorHAnsi" w:eastAsia="Times New Roman" w:hAnsiTheme="minorHAnsi" w:cstheme="minorHAnsi"/>
                <w:sz w:val="24"/>
                <w:szCs w:val="24"/>
              </w:rPr>
            </w:pPr>
            <w:r w:rsidRPr="00D633A9">
              <w:rPr>
                <w:rFonts w:asciiTheme="minorHAnsi" w:eastAsia="Times New Roman" w:hAnsiTheme="minorHAnsi" w:cstheme="minorHAnsi"/>
                <w:sz w:val="24"/>
                <w:szCs w:val="24"/>
              </w:rPr>
              <w:t xml:space="preserve">             131.88 </w:t>
            </w:r>
          </w:p>
        </w:tc>
      </w:tr>
    </w:tbl>
    <w:p w14:paraId="0B48AE38" w14:textId="77777777" w:rsidR="007C1958" w:rsidRPr="00781608" w:rsidRDefault="007C1958" w:rsidP="007C1958">
      <w:pPr>
        <w:pStyle w:val="ydp360db5b4yiv6248630976msolistparagraph"/>
        <w:spacing w:beforeAutospacing="0" w:after="200" w:afterAutospacing="0" w:line="276" w:lineRule="auto"/>
        <w:ind w:left="1440"/>
        <w:jc w:val="both"/>
        <w:rPr>
          <w:rFonts w:asciiTheme="minorHAnsi" w:eastAsia="Times New Roman" w:hAnsiTheme="minorHAnsi" w:cstheme="minorHAnsi"/>
          <w:sz w:val="24"/>
          <w:szCs w:val="24"/>
        </w:rPr>
      </w:pPr>
    </w:p>
    <w:p w14:paraId="2F43B643" w14:textId="77777777" w:rsidR="00602685" w:rsidRPr="00781608" w:rsidRDefault="00A56DF7" w:rsidP="00E85684">
      <w:pPr>
        <w:pStyle w:val="ydp360db5b4yiv6248630976msolistparagraph"/>
        <w:numPr>
          <w:ilvl w:val="1"/>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Corresponding impact of proposed prior period restatement on the depreciation, interest expenses, Profit Before Tax, and Income tax in each year from FY 2005-06 to FY 2019-20.</w:t>
      </w:r>
    </w:p>
    <w:p w14:paraId="53B4009B" w14:textId="5313F02A" w:rsidR="005E03AF" w:rsidRDefault="005E03AF" w:rsidP="005E03AF">
      <w:pPr>
        <w:pStyle w:val="ydp360db5b4yiv6248630976msolistparagraph"/>
        <w:spacing w:beforeAutospacing="0" w:after="200" w:afterAutospacing="0" w:line="276" w:lineRule="auto"/>
        <w:ind w:left="1440"/>
        <w:jc w:val="both"/>
        <w:rPr>
          <w:rFonts w:asciiTheme="minorHAnsi" w:eastAsia="Times New Roman" w:hAnsiTheme="minorHAnsi" w:cstheme="minorHAnsi"/>
          <w:bCs/>
          <w:sz w:val="24"/>
          <w:szCs w:val="24"/>
        </w:rPr>
      </w:pPr>
      <w:r w:rsidRPr="00781608">
        <w:rPr>
          <w:rFonts w:asciiTheme="minorHAnsi" w:eastAsia="Times New Roman" w:hAnsiTheme="minorHAnsi" w:cstheme="minorHAnsi"/>
          <w:b/>
          <w:sz w:val="24"/>
          <w:szCs w:val="24"/>
        </w:rPr>
        <w:t>Compliance:</w:t>
      </w:r>
      <w:r w:rsidR="007C1958">
        <w:rPr>
          <w:rFonts w:asciiTheme="minorHAnsi" w:eastAsia="Times New Roman" w:hAnsiTheme="minorHAnsi" w:cstheme="minorHAnsi"/>
          <w:b/>
          <w:sz w:val="24"/>
          <w:szCs w:val="24"/>
        </w:rPr>
        <w:t xml:space="preserve"> </w:t>
      </w:r>
      <w:r w:rsidR="007C1958" w:rsidRPr="007C1958">
        <w:rPr>
          <w:rFonts w:asciiTheme="minorHAnsi" w:eastAsia="Times New Roman" w:hAnsiTheme="minorHAnsi" w:cstheme="minorHAnsi"/>
          <w:bCs/>
          <w:sz w:val="24"/>
          <w:szCs w:val="24"/>
        </w:rPr>
        <w:t>During Ind AS implementation in the FY 2016-17, on review of the prevailing facts and developments, the Company changed the method for recognising the government grants and consumer contribution from WDV to SLM method in the profit and loss statement and applied the change prospectively. During the FY 2020-21, based on the Expert Advisory Committee (EAC) of the Institute of Chartered Accounts of India (ICAI) opinion on government grant accounting, the Company has reviewed the accounting treatment to give effect to the opinion. Accordingly</w:t>
      </w:r>
      <w:r w:rsidR="007C1958">
        <w:rPr>
          <w:rFonts w:asciiTheme="minorHAnsi" w:eastAsia="Times New Roman" w:hAnsiTheme="minorHAnsi" w:cstheme="minorHAnsi"/>
          <w:bCs/>
          <w:sz w:val="24"/>
          <w:szCs w:val="24"/>
        </w:rPr>
        <w:t>,</w:t>
      </w:r>
      <w:r w:rsidR="007C1958" w:rsidRPr="007C1958">
        <w:rPr>
          <w:rFonts w:asciiTheme="minorHAnsi" w:eastAsia="Times New Roman" w:hAnsiTheme="minorHAnsi" w:cstheme="minorHAnsi"/>
          <w:bCs/>
          <w:sz w:val="24"/>
          <w:szCs w:val="24"/>
        </w:rPr>
        <w:t xml:space="preserve"> </w:t>
      </w:r>
      <w:r w:rsidR="007C1958">
        <w:rPr>
          <w:rFonts w:asciiTheme="minorHAnsi" w:eastAsia="Times New Roman" w:hAnsiTheme="minorHAnsi" w:cstheme="minorHAnsi"/>
          <w:bCs/>
          <w:sz w:val="24"/>
          <w:szCs w:val="24"/>
        </w:rPr>
        <w:t>t</w:t>
      </w:r>
      <w:r w:rsidR="007C1958" w:rsidRPr="007C1958">
        <w:rPr>
          <w:rFonts w:asciiTheme="minorHAnsi" w:eastAsia="Times New Roman" w:hAnsiTheme="minorHAnsi" w:cstheme="minorHAnsi"/>
          <w:bCs/>
          <w:sz w:val="24"/>
          <w:szCs w:val="24"/>
        </w:rPr>
        <w:t>he below mentioned year-wise retrospective impact of deferred grant due to EAC opinion has been considered in the Financial Statements for the FY 2020-21 by considering consequential impact on the retained earnings.</w:t>
      </w:r>
    </w:p>
    <w:tbl>
      <w:tblPr>
        <w:tblW w:w="7684" w:type="dxa"/>
        <w:tblInd w:w="1526" w:type="dxa"/>
        <w:tblLayout w:type="fixed"/>
        <w:tblLook w:val="04A0" w:firstRow="1" w:lastRow="0" w:firstColumn="1" w:lastColumn="0" w:noHBand="0" w:noVBand="1"/>
      </w:tblPr>
      <w:tblGrid>
        <w:gridCol w:w="1167"/>
        <w:gridCol w:w="2377"/>
        <w:gridCol w:w="2409"/>
        <w:gridCol w:w="1731"/>
      </w:tblGrid>
      <w:tr w:rsidR="007C1958" w:rsidRPr="00FA635B" w14:paraId="18A2E97B" w14:textId="77777777" w:rsidTr="007C1958">
        <w:trPr>
          <w:trHeight w:val="990"/>
        </w:trPr>
        <w:tc>
          <w:tcPr>
            <w:tcW w:w="116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1785E97" w14:textId="77777777" w:rsidR="007C1958" w:rsidRPr="007C1958" w:rsidRDefault="007C1958" w:rsidP="000F6775">
            <w:pPr>
              <w:jc w:val="center"/>
              <w:rPr>
                <w:rFonts w:asciiTheme="minorHAnsi" w:eastAsia="Times New Roman" w:hAnsiTheme="minorHAnsi" w:cstheme="minorHAnsi"/>
                <w:b/>
                <w:bCs/>
                <w:sz w:val="24"/>
                <w:szCs w:val="24"/>
              </w:rPr>
            </w:pPr>
            <w:r w:rsidRPr="007C1958">
              <w:rPr>
                <w:rFonts w:asciiTheme="minorHAnsi" w:eastAsia="Times New Roman" w:hAnsiTheme="minorHAnsi" w:cstheme="minorHAnsi"/>
                <w:b/>
                <w:bCs/>
                <w:sz w:val="24"/>
                <w:szCs w:val="24"/>
              </w:rPr>
              <w:t>Year</w:t>
            </w:r>
          </w:p>
        </w:tc>
        <w:tc>
          <w:tcPr>
            <w:tcW w:w="2377" w:type="dxa"/>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71D19A19" w14:textId="0467F70D" w:rsidR="007C1958" w:rsidRPr="007C1958" w:rsidRDefault="007C1958" w:rsidP="000F6775">
            <w:pPr>
              <w:jc w:val="center"/>
              <w:rPr>
                <w:rFonts w:asciiTheme="minorHAnsi" w:eastAsia="Times New Roman" w:hAnsiTheme="minorHAnsi" w:cstheme="minorHAnsi"/>
                <w:b/>
                <w:bCs/>
                <w:sz w:val="24"/>
                <w:szCs w:val="24"/>
              </w:rPr>
            </w:pPr>
            <w:r w:rsidRPr="007C1958">
              <w:rPr>
                <w:rFonts w:asciiTheme="minorHAnsi" w:eastAsia="Times New Roman" w:hAnsiTheme="minorHAnsi" w:cstheme="minorHAnsi"/>
                <w:b/>
                <w:bCs/>
                <w:sz w:val="24"/>
                <w:szCs w:val="24"/>
              </w:rPr>
              <w:t>Deferred grant as per books of Accounts. (Rs. In Cr</w:t>
            </w:r>
            <w:r>
              <w:rPr>
                <w:rFonts w:asciiTheme="minorHAnsi" w:eastAsia="Times New Roman" w:hAnsiTheme="minorHAnsi" w:cstheme="minorHAnsi"/>
                <w:b/>
                <w:bCs/>
                <w:sz w:val="24"/>
                <w:szCs w:val="24"/>
              </w:rPr>
              <w:t>ore</w:t>
            </w:r>
            <w:r w:rsidRPr="007C1958">
              <w:rPr>
                <w:rFonts w:asciiTheme="minorHAnsi" w:eastAsia="Times New Roman" w:hAnsiTheme="minorHAnsi" w:cstheme="minorHAnsi"/>
                <w:b/>
                <w:bCs/>
                <w:sz w:val="24"/>
                <w:szCs w:val="24"/>
              </w:rPr>
              <w:t>)</w:t>
            </w:r>
          </w:p>
        </w:tc>
        <w:tc>
          <w:tcPr>
            <w:tcW w:w="2409" w:type="dxa"/>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1111A9B8" w14:textId="26893CC4" w:rsidR="007C1958" w:rsidRPr="007C1958" w:rsidRDefault="007C1958" w:rsidP="000F6775">
            <w:pPr>
              <w:jc w:val="center"/>
              <w:rPr>
                <w:rFonts w:asciiTheme="minorHAnsi" w:eastAsia="Times New Roman" w:hAnsiTheme="minorHAnsi" w:cstheme="minorHAnsi"/>
                <w:b/>
                <w:bCs/>
                <w:sz w:val="24"/>
                <w:szCs w:val="24"/>
              </w:rPr>
            </w:pPr>
            <w:r w:rsidRPr="007C1958">
              <w:rPr>
                <w:rFonts w:asciiTheme="minorHAnsi" w:eastAsia="Times New Roman" w:hAnsiTheme="minorHAnsi" w:cstheme="minorHAnsi"/>
                <w:b/>
                <w:bCs/>
                <w:sz w:val="24"/>
                <w:szCs w:val="24"/>
              </w:rPr>
              <w:t>Revised deferred grant due to EAC Opinion</w:t>
            </w:r>
            <w:r>
              <w:rPr>
                <w:rFonts w:asciiTheme="minorHAnsi" w:eastAsia="Times New Roman" w:hAnsiTheme="minorHAnsi" w:cstheme="minorHAnsi"/>
                <w:b/>
                <w:bCs/>
                <w:sz w:val="24"/>
                <w:szCs w:val="24"/>
              </w:rPr>
              <w:t xml:space="preserve"> </w:t>
            </w:r>
            <w:r w:rsidRPr="007C1958">
              <w:rPr>
                <w:rFonts w:asciiTheme="minorHAnsi" w:eastAsia="Times New Roman" w:hAnsiTheme="minorHAnsi" w:cstheme="minorHAnsi"/>
                <w:b/>
                <w:bCs/>
                <w:sz w:val="24"/>
                <w:szCs w:val="24"/>
              </w:rPr>
              <w:t>(Rs. In Cr</w:t>
            </w:r>
            <w:r>
              <w:rPr>
                <w:rFonts w:asciiTheme="minorHAnsi" w:eastAsia="Times New Roman" w:hAnsiTheme="minorHAnsi" w:cstheme="minorHAnsi"/>
                <w:b/>
                <w:bCs/>
                <w:sz w:val="24"/>
                <w:szCs w:val="24"/>
              </w:rPr>
              <w:t>ore</w:t>
            </w:r>
            <w:r w:rsidRPr="007C1958">
              <w:rPr>
                <w:rFonts w:asciiTheme="minorHAnsi" w:eastAsia="Times New Roman" w:hAnsiTheme="minorHAnsi" w:cstheme="minorHAnsi"/>
                <w:b/>
                <w:bCs/>
                <w:sz w:val="24"/>
                <w:szCs w:val="24"/>
              </w:rPr>
              <w:t>)</w:t>
            </w:r>
          </w:p>
        </w:tc>
        <w:tc>
          <w:tcPr>
            <w:tcW w:w="1731" w:type="dxa"/>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6DA8BC67" w14:textId="77777777" w:rsidR="007C1958" w:rsidRPr="007C1958" w:rsidRDefault="007C1958" w:rsidP="000F6775">
            <w:pPr>
              <w:jc w:val="center"/>
              <w:rPr>
                <w:rFonts w:asciiTheme="minorHAnsi" w:eastAsia="Times New Roman" w:hAnsiTheme="minorHAnsi" w:cstheme="minorHAnsi"/>
                <w:b/>
                <w:bCs/>
                <w:sz w:val="24"/>
                <w:szCs w:val="24"/>
              </w:rPr>
            </w:pPr>
            <w:r w:rsidRPr="007C1958">
              <w:rPr>
                <w:rFonts w:asciiTheme="minorHAnsi" w:eastAsia="Times New Roman" w:hAnsiTheme="minorHAnsi" w:cstheme="minorHAnsi"/>
                <w:b/>
                <w:bCs/>
                <w:sz w:val="24"/>
                <w:szCs w:val="24"/>
              </w:rPr>
              <w:t xml:space="preserve">Differential Impact </w:t>
            </w:r>
          </w:p>
          <w:p w14:paraId="7D509CF9" w14:textId="77777777" w:rsidR="007C1958" w:rsidRPr="007C1958" w:rsidRDefault="007C1958" w:rsidP="000F6775">
            <w:pPr>
              <w:jc w:val="center"/>
              <w:rPr>
                <w:rFonts w:asciiTheme="minorHAnsi" w:eastAsia="Times New Roman" w:hAnsiTheme="minorHAnsi" w:cstheme="minorHAnsi"/>
                <w:b/>
                <w:bCs/>
                <w:sz w:val="24"/>
                <w:szCs w:val="24"/>
              </w:rPr>
            </w:pPr>
            <w:r w:rsidRPr="007C1958">
              <w:rPr>
                <w:rFonts w:asciiTheme="minorHAnsi" w:eastAsia="Times New Roman" w:hAnsiTheme="minorHAnsi" w:cstheme="minorHAnsi"/>
                <w:b/>
                <w:bCs/>
                <w:sz w:val="24"/>
                <w:szCs w:val="24"/>
              </w:rPr>
              <w:t>(Rs. In Crores)</w:t>
            </w:r>
          </w:p>
        </w:tc>
      </w:tr>
      <w:tr w:rsidR="007C1958" w:rsidRPr="00FA635B" w14:paraId="2207E8C9" w14:textId="77777777" w:rsidTr="007C1958">
        <w:trPr>
          <w:trHeight w:val="33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3CE3D240" w14:textId="77777777" w:rsidR="007C1958" w:rsidRPr="00FA635B" w:rsidRDefault="007C1958" w:rsidP="000F6775">
            <w:pP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2005-06</w:t>
            </w:r>
          </w:p>
        </w:tc>
        <w:tc>
          <w:tcPr>
            <w:tcW w:w="2377" w:type="dxa"/>
            <w:tcBorders>
              <w:top w:val="nil"/>
              <w:left w:val="nil"/>
              <w:bottom w:val="single" w:sz="4" w:space="0" w:color="auto"/>
              <w:right w:val="single" w:sz="4" w:space="0" w:color="auto"/>
            </w:tcBorders>
            <w:shd w:val="clear" w:color="auto" w:fill="auto"/>
            <w:noWrap/>
            <w:vAlign w:val="bottom"/>
          </w:tcPr>
          <w:p w14:paraId="0B05AE6E"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3.79</w:t>
            </w:r>
          </w:p>
        </w:tc>
        <w:tc>
          <w:tcPr>
            <w:tcW w:w="2409" w:type="dxa"/>
            <w:tcBorders>
              <w:top w:val="nil"/>
              <w:left w:val="nil"/>
              <w:bottom w:val="single" w:sz="4" w:space="0" w:color="auto"/>
              <w:right w:val="single" w:sz="4" w:space="0" w:color="auto"/>
            </w:tcBorders>
            <w:shd w:val="clear" w:color="auto" w:fill="auto"/>
            <w:noWrap/>
            <w:vAlign w:val="bottom"/>
          </w:tcPr>
          <w:p w14:paraId="740168E1"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2.50</w:t>
            </w:r>
          </w:p>
        </w:tc>
        <w:tc>
          <w:tcPr>
            <w:tcW w:w="1731" w:type="dxa"/>
            <w:tcBorders>
              <w:top w:val="nil"/>
              <w:left w:val="nil"/>
              <w:bottom w:val="single" w:sz="4" w:space="0" w:color="auto"/>
              <w:right w:val="single" w:sz="4" w:space="0" w:color="auto"/>
            </w:tcBorders>
            <w:shd w:val="clear" w:color="auto" w:fill="auto"/>
            <w:noWrap/>
            <w:vAlign w:val="bottom"/>
          </w:tcPr>
          <w:p w14:paraId="75218568"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1.28</w:t>
            </w:r>
          </w:p>
        </w:tc>
      </w:tr>
      <w:tr w:rsidR="007C1958" w:rsidRPr="00FA635B" w14:paraId="77CFD94B" w14:textId="77777777" w:rsidTr="007C1958">
        <w:trPr>
          <w:trHeight w:val="33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247A2031" w14:textId="77777777" w:rsidR="007C1958" w:rsidRPr="00FA635B" w:rsidRDefault="007C1958" w:rsidP="000F6775">
            <w:pP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2006-07</w:t>
            </w:r>
          </w:p>
        </w:tc>
        <w:tc>
          <w:tcPr>
            <w:tcW w:w="2377" w:type="dxa"/>
            <w:tcBorders>
              <w:top w:val="nil"/>
              <w:left w:val="nil"/>
              <w:bottom w:val="single" w:sz="4" w:space="0" w:color="auto"/>
              <w:right w:val="single" w:sz="4" w:space="0" w:color="auto"/>
            </w:tcBorders>
            <w:shd w:val="clear" w:color="auto" w:fill="auto"/>
            <w:noWrap/>
            <w:vAlign w:val="bottom"/>
          </w:tcPr>
          <w:p w14:paraId="7C31C1FA"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4.32</w:t>
            </w:r>
          </w:p>
        </w:tc>
        <w:tc>
          <w:tcPr>
            <w:tcW w:w="2409" w:type="dxa"/>
            <w:tcBorders>
              <w:top w:val="nil"/>
              <w:left w:val="nil"/>
              <w:bottom w:val="single" w:sz="4" w:space="0" w:color="auto"/>
              <w:right w:val="single" w:sz="4" w:space="0" w:color="auto"/>
            </w:tcBorders>
            <w:shd w:val="clear" w:color="auto" w:fill="auto"/>
            <w:noWrap/>
            <w:vAlign w:val="bottom"/>
          </w:tcPr>
          <w:p w14:paraId="1BEB8D48"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5.82</w:t>
            </w:r>
          </w:p>
        </w:tc>
        <w:tc>
          <w:tcPr>
            <w:tcW w:w="1731" w:type="dxa"/>
            <w:tcBorders>
              <w:top w:val="nil"/>
              <w:left w:val="nil"/>
              <w:bottom w:val="single" w:sz="4" w:space="0" w:color="auto"/>
              <w:right w:val="single" w:sz="4" w:space="0" w:color="auto"/>
            </w:tcBorders>
            <w:shd w:val="clear" w:color="auto" w:fill="auto"/>
            <w:noWrap/>
            <w:vAlign w:val="bottom"/>
          </w:tcPr>
          <w:p w14:paraId="3697C791"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-1.50</w:t>
            </w:r>
          </w:p>
        </w:tc>
      </w:tr>
      <w:tr w:rsidR="007C1958" w:rsidRPr="00FA635B" w14:paraId="5918BB03" w14:textId="77777777" w:rsidTr="007C1958">
        <w:trPr>
          <w:trHeight w:val="33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7BD0075B" w14:textId="77777777" w:rsidR="007C1958" w:rsidRPr="00FA635B" w:rsidRDefault="007C1958" w:rsidP="000F6775">
            <w:pP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2007-08</w:t>
            </w:r>
          </w:p>
        </w:tc>
        <w:tc>
          <w:tcPr>
            <w:tcW w:w="2377" w:type="dxa"/>
            <w:tcBorders>
              <w:top w:val="nil"/>
              <w:left w:val="nil"/>
              <w:bottom w:val="single" w:sz="4" w:space="0" w:color="auto"/>
              <w:right w:val="single" w:sz="4" w:space="0" w:color="auto"/>
            </w:tcBorders>
            <w:shd w:val="clear" w:color="auto" w:fill="auto"/>
            <w:noWrap/>
            <w:vAlign w:val="bottom"/>
          </w:tcPr>
          <w:p w14:paraId="76B72AA9"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17.47</w:t>
            </w:r>
          </w:p>
        </w:tc>
        <w:tc>
          <w:tcPr>
            <w:tcW w:w="2409" w:type="dxa"/>
            <w:tcBorders>
              <w:top w:val="nil"/>
              <w:left w:val="nil"/>
              <w:bottom w:val="single" w:sz="4" w:space="0" w:color="auto"/>
              <w:right w:val="single" w:sz="4" w:space="0" w:color="auto"/>
            </w:tcBorders>
            <w:shd w:val="clear" w:color="auto" w:fill="auto"/>
            <w:noWrap/>
            <w:vAlign w:val="bottom"/>
          </w:tcPr>
          <w:p w14:paraId="6BEC984B"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10.68</w:t>
            </w:r>
          </w:p>
        </w:tc>
        <w:tc>
          <w:tcPr>
            <w:tcW w:w="1731" w:type="dxa"/>
            <w:tcBorders>
              <w:top w:val="nil"/>
              <w:left w:val="nil"/>
              <w:bottom w:val="single" w:sz="4" w:space="0" w:color="auto"/>
              <w:right w:val="single" w:sz="4" w:space="0" w:color="auto"/>
            </w:tcBorders>
            <w:shd w:val="clear" w:color="auto" w:fill="auto"/>
            <w:noWrap/>
            <w:vAlign w:val="bottom"/>
          </w:tcPr>
          <w:p w14:paraId="6E9B5BAC"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6.79</w:t>
            </w:r>
          </w:p>
        </w:tc>
      </w:tr>
      <w:tr w:rsidR="007C1958" w:rsidRPr="00FA635B" w14:paraId="5C52D59E" w14:textId="77777777" w:rsidTr="007C1958">
        <w:trPr>
          <w:trHeight w:val="33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24CB40BA" w14:textId="77777777" w:rsidR="007C1958" w:rsidRPr="00FA635B" w:rsidRDefault="007C1958" w:rsidP="000F6775">
            <w:pP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2008-09</w:t>
            </w:r>
          </w:p>
        </w:tc>
        <w:tc>
          <w:tcPr>
            <w:tcW w:w="2377" w:type="dxa"/>
            <w:tcBorders>
              <w:top w:val="nil"/>
              <w:left w:val="nil"/>
              <w:bottom w:val="single" w:sz="4" w:space="0" w:color="auto"/>
              <w:right w:val="single" w:sz="4" w:space="0" w:color="auto"/>
            </w:tcBorders>
            <w:shd w:val="clear" w:color="auto" w:fill="auto"/>
            <w:noWrap/>
            <w:vAlign w:val="bottom"/>
          </w:tcPr>
          <w:p w14:paraId="247EE2DC"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34.18</w:t>
            </w:r>
          </w:p>
        </w:tc>
        <w:tc>
          <w:tcPr>
            <w:tcW w:w="2409" w:type="dxa"/>
            <w:tcBorders>
              <w:top w:val="nil"/>
              <w:left w:val="nil"/>
              <w:bottom w:val="single" w:sz="4" w:space="0" w:color="auto"/>
              <w:right w:val="single" w:sz="4" w:space="0" w:color="auto"/>
            </w:tcBorders>
            <w:shd w:val="clear" w:color="auto" w:fill="auto"/>
            <w:noWrap/>
            <w:vAlign w:val="bottom"/>
          </w:tcPr>
          <w:p w14:paraId="32D1C9BF"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17.00</w:t>
            </w:r>
          </w:p>
        </w:tc>
        <w:tc>
          <w:tcPr>
            <w:tcW w:w="1731" w:type="dxa"/>
            <w:tcBorders>
              <w:top w:val="nil"/>
              <w:left w:val="nil"/>
              <w:bottom w:val="single" w:sz="4" w:space="0" w:color="auto"/>
              <w:right w:val="single" w:sz="4" w:space="0" w:color="auto"/>
            </w:tcBorders>
            <w:shd w:val="clear" w:color="auto" w:fill="auto"/>
            <w:noWrap/>
            <w:vAlign w:val="bottom"/>
          </w:tcPr>
          <w:p w14:paraId="3535643A"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17.18</w:t>
            </w:r>
          </w:p>
        </w:tc>
      </w:tr>
      <w:tr w:rsidR="007C1958" w:rsidRPr="00FA635B" w14:paraId="39E65026" w14:textId="77777777" w:rsidTr="007C1958">
        <w:trPr>
          <w:trHeight w:val="33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70D9F25A" w14:textId="77777777" w:rsidR="007C1958" w:rsidRPr="00FA635B" w:rsidRDefault="007C1958" w:rsidP="000F6775">
            <w:pP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2009-10</w:t>
            </w:r>
          </w:p>
        </w:tc>
        <w:tc>
          <w:tcPr>
            <w:tcW w:w="2377" w:type="dxa"/>
            <w:tcBorders>
              <w:top w:val="nil"/>
              <w:left w:val="nil"/>
              <w:bottom w:val="single" w:sz="4" w:space="0" w:color="auto"/>
              <w:right w:val="single" w:sz="4" w:space="0" w:color="auto"/>
            </w:tcBorders>
            <w:shd w:val="clear" w:color="auto" w:fill="auto"/>
            <w:noWrap/>
            <w:vAlign w:val="bottom"/>
          </w:tcPr>
          <w:p w14:paraId="74334C5F"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39.42</w:t>
            </w:r>
          </w:p>
        </w:tc>
        <w:tc>
          <w:tcPr>
            <w:tcW w:w="2409" w:type="dxa"/>
            <w:tcBorders>
              <w:top w:val="nil"/>
              <w:left w:val="nil"/>
              <w:bottom w:val="single" w:sz="4" w:space="0" w:color="auto"/>
              <w:right w:val="single" w:sz="4" w:space="0" w:color="auto"/>
            </w:tcBorders>
            <w:shd w:val="clear" w:color="auto" w:fill="auto"/>
            <w:noWrap/>
            <w:vAlign w:val="bottom"/>
          </w:tcPr>
          <w:p w14:paraId="6F05C515"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21.47</w:t>
            </w:r>
          </w:p>
        </w:tc>
        <w:tc>
          <w:tcPr>
            <w:tcW w:w="1731" w:type="dxa"/>
            <w:tcBorders>
              <w:top w:val="nil"/>
              <w:left w:val="nil"/>
              <w:bottom w:val="single" w:sz="4" w:space="0" w:color="auto"/>
              <w:right w:val="single" w:sz="4" w:space="0" w:color="auto"/>
            </w:tcBorders>
            <w:shd w:val="clear" w:color="auto" w:fill="auto"/>
            <w:noWrap/>
            <w:vAlign w:val="bottom"/>
          </w:tcPr>
          <w:p w14:paraId="4B66981C"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17.95</w:t>
            </w:r>
          </w:p>
        </w:tc>
      </w:tr>
      <w:tr w:rsidR="007C1958" w:rsidRPr="00FA635B" w14:paraId="5F3B76A0" w14:textId="77777777" w:rsidTr="007C1958">
        <w:trPr>
          <w:trHeight w:val="33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539DA3CF" w14:textId="77777777" w:rsidR="007C1958" w:rsidRPr="00FA635B" w:rsidRDefault="007C1958" w:rsidP="000F6775">
            <w:pP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2010-11</w:t>
            </w:r>
          </w:p>
        </w:tc>
        <w:tc>
          <w:tcPr>
            <w:tcW w:w="2377" w:type="dxa"/>
            <w:tcBorders>
              <w:top w:val="nil"/>
              <w:left w:val="nil"/>
              <w:bottom w:val="single" w:sz="4" w:space="0" w:color="auto"/>
              <w:right w:val="single" w:sz="4" w:space="0" w:color="auto"/>
            </w:tcBorders>
            <w:shd w:val="clear" w:color="auto" w:fill="auto"/>
            <w:noWrap/>
            <w:vAlign w:val="bottom"/>
          </w:tcPr>
          <w:p w14:paraId="61A22C84"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46.29</w:t>
            </w:r>
          </w:p>
        </w:tc>
        <w:tc>
          <w:tcPr>
            <w:tcW w:w="2409" w:type="dxa"/>
            <w:tcBorders>
              <w:top w:val="nil"/>
              <w:left w:val="nil"/>
              <w:bottom w:val="single" w:sz="4" w:space="0" w:color="auto"/>
              <w:right w:val="single" w:sz="4" w:space="0" w:color="auto"/>
            </w:tcBorders>
            <w:shd w:val="clear" w:color="auto" w:fill="auto"/>
            <w:noWrap/>
            <w:vAlign w:val="bottom"/>
          </w:tcPr>
          <w:p w14:paraId="2592A882"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26.24</w:t>
            </w:r>
          </w:p>
        </w:tc>
        <w:tc>
          <w:tcPr>
            <w:tcW w:w="1731" w:type="dxa"/>
            <w:tcBorders>
              <w:top w:val="nil"/>
              <w:left w:val="nil"/>
              <w:bottom w:val="single" w:sz="4" w:space="0" w:color="auto"/>
              <w:right w:val="single" w:sz="4" w:space="0" w:color="auto"/>
            </w:tcBorders>
            <w:shd w:val="clear" w:color="auto" w:fill="auto"/>
            <w:noWrap/>
            <w:vAlign w:val="bottom"/>
          </w:tcPr>
          <w:p w14:paraId="065753EE"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20.05</w:t>
            </w:r>
          </w:p>
        </w:tc>
      </w:tr>
      <w:tr w:rsidR="007C1958" w:rsidRPr="00FA635B" w14:paraId="03EA5C11" w14:textId="77777777" w:rsidTr="007C1958">
        <w:trPr>
          <w:trHeight w:val="33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0742B590" w14:textId="77777777" w:rsidR="007C1958" w:rsidRPr="00FA635B" w:rsidRDefault="007C1958" w:rsidP="000F6775">
            <w:pP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2011-12</w:t>
            </w:r>
          </w:p>
        </w:tc>
        <w:tc>
          <w:tcPr>
            <w:tcW w:w="2377" w:type="dxa"/>
            <w:tcBorders>
              <w:top w:val="nil"/>
              <w:left w:val="nil"/>
              <w:bottom w:val="single" w:sz="4" w:space="0" w:color="auto"/>
              <w:right w:val="single" w:sz="4" w:space="0" w:color="auto"/>
            </w:tcBorders>
            <w:shd w:val="clear" w:color="auto" w:fill="auto"/>
            <w:noWrap/>
            <w:vAlign w:val="bottom"/>
          </w:tcPr>
          <w:p w14:paraId="253C1C32"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57.68</w:t>
            </w:r>
          </w:p>
        </w:tc>
        <w:tc>
          <w:tcPr>
            <w:tcW w:w="2409" w:type="dxa"/>
            <w:tcBorders>
              <w:top w:val="nil"/>
              <w:left w:val="nil"/>
              <w:bottom w:val="single" w:sz="4" w:space="0" w:color="auto"/>
              <w:right w:val="single" w:sz="4" w:space="0" w:color="auto"/>
            </w:tcBorders>
            <w:shd w:val="clear" w:color="auto" w:fill="auto"/>
            <w:noWrap/>
            <w:vAlign w:val="bottom"/>
          </w:tcPr>
          <w:p w14:paraId="0E127D90"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37.91</w:t>
            </w:r>
          </w:p>
        </w:tc>
        <w:tc>
          <w:tcPr>
            <w:tcW w:w="1731" w:type="dxa"/>
            <w:tcBorders>
              <w:top w:val="nil"/>
              <w:left w:val="nil"/>
              <w:bottom w:val="single" w:sz="4" w:space="0" w:color="auto"/>
              <w:right w:val="single" w:sz="4" w:space="0" w:color="auto"/>
            </w:tcBorders>
            <w:shd w:val="clear" w:color="auto" w:fill="auto"/>
            <w:noWrap/>
            <w:vAlign w:val="bottom"/>
          </w:tcPr>
          <w:p w14:paraId="7667B727"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19.77</w:t>
            </w:r>
          </w:p>
        </w:tc>
      </w:tr>
      <w:tr w:rsidR="007C1958" w:rsidRPr="00FA635B" w14:paraId="3110F058" w14:textId="77777777" w:rsidTr="007C1958">
        <w:trPr>
          <w:trHeight w:val="33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50DAA642" w14:textId="77777777" w:rsidR="007C1958" w:rsidRPr="00FA635B" w:rsidRDefault="007C1958" w:rsidP="000F6775">
            <w:pP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2012-13</w:t>
            </w:r>
          </w:p>
        </w:tc>
        <w:tc>
          <w:tcPr>
            <w:tcW w:w="2377" w:type="dxa"/>
            <w:tcBorders>
              <w:top w:val="nil"/>
              <w:left w:val="nil"/>
              <w:bottom w:val="single" w:sz="4" w:space="0" w:color="auto"/>
              <w:right w:val="single" w:sz="4" w:space="0" w:color="auto"/>
            </w:tcBorders>
            <w:shd w:val="clear" w:color="auto" w:fill="auto"/>
            <w:noWrap/>
            <w:vAlign w:val="bottom"/>
          </w:tcPr>
          <w:p w14:paraId="6F2900A6"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72.34</w:t>
            </w:r>
          </w:p>
        </w:tc>
        <w:tc>
          <w:tcPr>
            <w:tcW w:w="2409" w:type="dxa"/>
            <w:tcBorders>
              <w:top w:val="nil"/>
              <w:left w:val="nil"/>
              <w:bottom w:val="single" w:sz="4" w:space="0" w:color="auto"/>
              <w:right w:val="single" w:sz="4" w:space="0" w:color="auto"/>
            </w:tcBorders>
            <w:shd w:val="clear" w:color="auto" w:fill="auto"/>
            <w:noWrap/>
            <w:vAlign w:val="bottom"/>
          </w:tcPr>
          <w:p w14:paraId="130AD5DF"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48.89</w:t>
            </w:r>
          </w:p>
        </w:tc>
        <w:tc>
          <w:tcPr>
            <w:tcW w:w="1731" w:type="dxa"/>
            <w:tcBorders>
              <w:top w:val="nil"/>
              <w:left w:val="nil"/>
              <w:bottom w:val="single" w:sz="4" w:space="0" w:color="auto"/>
              <w:right w:val="single" w:sz="4" w:space="0" w:color="auto"/>
            </w:tcBorders>
            <w:shd w:val="clear" w:color="auto" w:fill="auto"/>
            <w:noWrap/>
            <w:vAlign w:val="bottom"/>
          </w:tcPr>
          <w:p w14:paraId="21BB7F57"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23.45</w:t>
            </w:r>
          </w:p>
        </w:tc>
      </w:tr>
      <w:tr w:rsidR="007C1958" w:rsidRPr="00FA635B" w14:paraId="0D0C5F14" w14:textId="77777777" w:rsidTr="007C1958">
        <w:trPr>
          <w:trHeight w:val="33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71E11B3C" w14:textId="77777777" w:rsidR="007C1958" w:rsidRPr="00FA635B" w:rsidRDefault="007C1958" w:rsidP="000F6775">
            <w:pP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2013-14</w:t>
            </w:r>
          </w:p>
        </w:tc>
        <w:tc>
          <w:tcPr>
            <w:tcW w:w="2377" w:type="dxa"/>
            <w:tcBorders>
              <w:top w:val="nil"/>
              <w:left w:val="nil"/>
              <w:bottom w:val="single" w:sz="4" w:space="0" w:color="auto"/>
              <w:right w:val="single" w:sz="4" w:space="0" w:color="auto"/>
            </w:tcBorders>
            <w:shd w:val="clear" w:color="auto" w:fill="auto"/>
            <w:noWrap/>
            <w:vAlign w:val="bottom"/>
          </w:tcPr>
          <w:p w14:paraId="63DEC0A2"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90.56</w:t>
            </w:r>
          </w:p>
        </w:tc>
        <w:tc>
          <w:tcPr>
            <w:tcW w:w="2409" w:type="dxa"/>
            <w:tcBorders>
              <w:top w:val="nil"/>
              <w:left w:val="nil"/>
              <w:bottom w:val="single" w:sz="4" w:space="0" w:color="auto"/>
              <w:right w:val="single" w:sz="4" w:space="0" w:color="auto"/>
            </w:tcBorders>
            <w:shd w:val="clear" w:color="auto" w:fill="auto"/>
            <w:noWrap/>
            <w:vAlign w:val="bottom"/>
          </w:tcPr>
          <w:p w14:paraId="73910028"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62.36</w:t>
            </w:r>
          </w:p>
        </w:tc>
        <w:tc>
          <w:tcPr>
            <w:tcW w:w="1731" w:type="dxa"/>
            <w:tcBorders>
              <w:top w:val="nil"/>
              <w:left w:val="nil"/>
              <w:bottom w:val="single" w:sz="4" w:space="0" w:color="auto"/>
              <w:right w:val="single" w:sz="4" w:space="0" w:color="auto"/>
            </w:tcBorders>
            <w:shd w:val="clear" w:color="auto" w:fill="auto"/>
            <w:noWrap/>
            <w:vAlign w:val="bottom"/>
          </w:tcPr>
          <w:p w14:paraId="1CC001A9"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28.20</w:t>
            </w:r>
          </w:p>
        </w:tc>
      </w:tr>
      <w:tr w:rsidR="007C1958" w:rsidRPr="00FA635B" w14:paraId="722D7470" w14:textId="77777777" w:rsidTr="007C1958">
        <w:trPr>
          <w:trHeight w:val="33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2EA83BF6" w14:textId="77777777" w:rsidR="007C1958" w:rsidRPr="00FA635B" w:rsidRDefault="007C1958" w:rsidP="000F6775">
            <w:pP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2014-15</w:t>
            </w:r>
          </w:p>
        </w:tc>
        <w:tc>
          <w:tcPr>
            <w:tcW w:w="2377" w:type="dxa"/>
            <w:tcBorders>
              <w:top w:val="nil"/>
              <w:left w:val="nil"/>
              <w:bottom w:val="single" w:sz="4" w:space="0" w:color="auto"/>
              <w:right w:val="single" w:sz="4" w:space="0" w:color="auto"/>
            </w:tcBorders>
            <w:shd w:val="clear" w:color="auto" w:fill="auto"/>
            <w:noWrap/>
            <w:vAlign w:val="bottom"/>
          </w:tcPr>
          <w:p w14:paraId="071120F7"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99.05</w:t>
            </w:r>
          </w:p>
        </w:tc>
        <w:tc>
          <w:tcPr>
            <w:tcW w:w="2409" w:type="dxa"/>
            <w:tcBorders>
              <w:top w:val="nil"/>
              <w:left w:val="nil"/>
              <w:bottom w:val="single" w:sz="4" w:space="0" w:color="auto"/>
              <w:right w:val="single" w:sz="4" w:space="0" w:color="auto"/>
            </w:tcBorders>
            <w:shd w:val="clear" w:color="auto" w:fill="auto"/>
            <w:noWrap/>
            <w:vAlign w:val="bottom"/>
          </w:tcPr>
          <w:p w14:paraId="372A59FB"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71.63</w:t>
            </w:r>
          </w:p>
        </w:tc>
        <w:tc>
          <w:tcPr>
            <w:tcW w:w="1731" w:type="dxa"/>
            <w:tcBorders>
              <w:top w:val="nil"/>
              <w:left w:val="nil"/>
              <w:bottom w:val="single" w:sz="4" w:space="0" w:color="auto"/>
              <w:right w:val="single" w:sz="4" w:space="0" w:color="auto"/>
            </w:tcBorders>
            <w:shd w:val="clear" w:color="auto" w:fill="auto"/>
            <w:noWrap/>
            <w:vAlign w:val="bottom"/>
          </w:tcPr>
          <w:p w14:paraId="6ECAB923"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27.43</w:t>
            </w:r>
          </w:p>
        </w:tc>
      </w:tr>
      <w:tr w:rsidR="007C1958" w:rsidRPr="00FA635B" w14:paraId="72A4ACD9" w14:textId="77777777" w:rsidTr="007C1958">
        <w:trPr>
          <w:trHeight w:val="33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54D8EF49" w14:textId="77777777" w:rsidR="007C1958" w:rsidRPr="00FA635B" w:rsidRDefault="007C1958" w:rsidP="000F6775">
            <w:pP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2015-16</w:t>
            </w:r>
          </w:p>
        </w:tc>
        <w:tc>
          <w:tcPr>
            <w:tcW w:w="2377" w:type="dxa"/>
            <w:tcBorders>
              <w:top w:val="nil"/>
              <w:left w:val="nil"/>
              <w:bottom w:val="single" w:sz="4" w:space="0" w:color="auto"/>
              <w:right w:val="single" w:sz="4" w:space="0" w:color="auto"/>
            </w:tcBorders>
            <w:shd w:val="clear" w:color="auto" w:fill="auto"/>
            <w:noWrap/>
            <w:vAlign w:val="bottom"/>
          </w:tcPr>
          <w:p w14:paraId="2160B470"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112.95</w:t>
            </w:r>
          </w:p>
        </w:tc>
        <w:tc>
          <w:tcPr>
            <w:tcW w:w="2409" w:type="dxa"/>
            <w:tcBorders>
              <w:top w:val="nil"/>
              <w:left w:val="nil"/>
              <w:bottom w:val="single" w:sz="4" w:space="0" w:color="auto"/>
              <w:right w:val="single" w:sz="4" w:space="0" w:color="auto"/>
            </w:tcBorders>
            <w:shd w:val="clear" w:color="auto" w:fill="auto"/>
            <w:noWrap/>
            <w:vAlign w:val="bottom"/>
          </w:tcPr>
          <w:p w14:paraId="15F6FC44"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84.03</w:t>
            </w:r>
          </w:p>
        </w:tc>
        <w:tc>
          <w:tcPr>
            <w:tcW w:w="1731" w:type="dxa"/>
            <w:tcBorders>
              <w:top w:val="nil"/>
              <w:left w:val="nil"/>
              <w:bottom w:val="single" w:sz="4" w:space="0" w:color="auto"/>
              <w:right w:val="single" w:sz="4" w:space="0" w:color="auto"/>
            </w:tcBorders>
            <w:shd w:val="clear" w:color="auto" w:fill="auto"/>
            <w:noWrap/>
            <w:vAlign w:val="bottom"/>
          </w:tcPr>
          <w:p w14:paraId="3F386C6F"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28.92</w:t>
            </w:r>
          </w:p>
        </w:tc>
      </w:tr>
      <w:tr w:rsidR="007C1958" w:rsidRPr="00FA635B" w14:paraId="1CA02538" w14:textId="77777777" w:rsidTr="007C1958">
        <w:trPr>
          <w:trHeight w:val="33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3287E876" w14:textId="77777777" w:rsidR="007C1958" w:rsidRPr="00FA635B" w:rsidRDefault="007C1958" w:rsidP="000F6775">
            <w:pP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2016-17</w:t>
            </w:r>
          </w:p>
        </w:tc>
        <w:tc>
          <w:tcPr>
            <w:tcW w:w="2377" w:type="dxa"/>
            <w:tcBorders>
              <w:top w:val="nil"/>
              <w:left w:val="nil"/>
              <w:bottom w:val="single" w:sz="4" w:space="0" w:color="auto"/>
              <w:right w:val="single" w:sz="4" w:space="0" w:color="auto"/>
            </w:tcBorders>
            <w:shd w:val="clear" w:color="auto" w:fill="auto"/>
            <w:noWrap/>
            <w:vAlign w:val="bottom"/>
          </w:tcPr>
          <w:p w14:paraId="22EDB270"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93.56</w:t>
            </w:r>
          </w:p>
        </w:tc>
        <w:tc>
          <w:tcPr>
            <w:tcW w:w="2409" w:type="dxa"/>
            <w:tcBorders>
              <w:top w:val="nil"/>
              <w:left w:val="nil"/>
              <w:bottom w:val="single" w:sz="4" w:space="0" w:color="auto"/>
              <w:right w:val="single" w:sz="4" w:space="0" w:color="auto"/>
            </w:tcBorders>
            <w:shd w:val="clear" w:color="auto" w:fill="auto"/>
            <w:noWrap/>
            <w:vAlign w:val="bottom"/>
          </w:tcPr>
          <w:p w14:paraId="13E335AD"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92.98</w:t>
            </w:r>
          </w:p>
        </w:tc>
        <w:tc>
          <w:tcPr>
            <w:tcW w:w="1731" w:type="dxa"/>
            <w:tcBorders>
              <w:top w:val="nil"/>
              <w:left w:val="nil"/>
              <w:bottom w:val="single" w:sz="4" w:space="0" w:color="auto"/>
              <w:right w:val="single" w:sz="4" w:space="0" w:color="auto"/>
            </w:tcBorders>
            <w:shd w:val="clear" w:color="auto" w:fill="auto"/>
            <w:noWrap/>
            <w:vAlign w:val="bottom"/>
          </w:tcPr>
          <w:p w14:paraId="0E8EF02A"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0.59</w:t>
            </w:r>
          </w:p>
        </w:tc>
      </w:tr>
      <w:tr w:rsidR="007C1958" w:rsidRPr="00FA635B" w14:paraId="150617F0" w14:textId="77777777" w:rsidTr="007C1958">
        <w:trPr>
          <w:trHeight w:val="33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46C0A465" w14:textId="77777777" w:rsidR="007C1958" w:rsidRPr="00FA635B" w:rsidRDefault="007C1958" w:rsidP="000F6775">
            <w:pP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2017-18</w:t>
            </w:r>
          </w:p>
        </w:tc>
        <w:tc>
          <w:tcPr>
            <w:tcW w:w="2377" w:type="dxa"/>
            <w:tcBorders>
              <w:top w:val="nil"/>
              <w:left w:val="nil"/>
              <w:bottom w:val="single" w:sz="4" w:space="0" w:color="auto"/>
              <w:right w:val="single" w:sz="4" w:space="0" w:color="auto"/>
            </w:tcBorders>
            <w:shd w:val="clear" w:color="auto" w:fill="auto"/>
            <w:noWrap/>
            <w:vAlign w:val="bottom"/>
          </w:tcPr>
          <w:p w14:paraId="676F825E"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101.54</w:t>
            </w:r>
          </w:p>
        </w:tc>
        <w:tc>
          <w:tcPr>
            <w:tcW w:w="2409" w:type="dxa"/>
            <w:tcBorders>
              <w:top w:val="nil"/>
              <w:left w:val="nil"/>
              <w:bottom w:val="single" w:sz="4" w:space="0" w:color="auto"/>
              <w:right w:val="single" w:sz="4" w:space="0" w:color="auto"/>
            </w:tcBorders>
            <w:shd w:val="clear" w:color="auto" w:fill="auto"/>
            <w:noWrap/>
            <w:vAlign w:val="bottom"/>
          </w:tcPr>
          <w:p w14:paraId="3BE93B85"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99.09</w:t>
            </w:r>
          </w:p>
        </w:tc>
        <w:tc>
          <w:tcPr>
            <w:tcW w:w="1731" w:type="dxa"/>
            <w:tcBorders>
              <w:top w:val="nil"/>
              <w:left w:val="nil"/>
              <w:bottom w:val="single" w:sz="4" w:space="0" w:color="auto"/>
              <w:right w:val="single" w:sz="4" w:space="0" w:color="auto"/>
            </w:tcBorders>
            <w:shd w:val="clear" w:color="auto" w:fill="auto"/>
            <w:noWrap/>
            <w:vAlign w:val="bottom"/>
          </w:tcPr>
          <w:p w14:paraId="7D9D4251"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2.45</w:t>
            </w:r>
          </w:p>
        </w:tc>
      </w:tr>
      <w:tr w:rsidR="007C1958" w:rsidRPr="00FA635B" w14:paraId="5E7A9989" w14:textId="77777777" w:rsidTr="007C1958">
        <w:trPr>
          <w:trHeight w:val="33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25D10511" w14:textId="77777777" w:rsidR="007C1958" w:rsidRPr="00FA635B" w:rsidRDefault="007C1958" w:rsidP="000F6775">
            <w:pP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2018-19</w:t>
            </w:r>
          </w:p>
        </w:tc>
        <w:tc>
          <w:tcPr>
            <w:tcW w:w="2377" w:type="dxa"/>
            <w:tcBorders>
              <w:top w:val="nil"/>
              <w:left w:val="nil"/>
              <w:bottom w:val="single" w:sz="4" w:space="0" w:color="auto"/>
              <w:right w:val="single" w:sz="4" w:space="0" w:color="auto"/>
            </w:tcBorders>
            <w:shd w:val="clear" w:color="auto" w:fill="auto"/>
            <w:noWrap/>
            <w:vAlign w:val="bottom"/>
          </w:tcPr>
          <w:p w14:paraId="5EBC1D76"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119.18</w:t>
            </w:r>
          </w:p>
        </w:tc>
        <w:tc>
          <w:tcPr>
            <w:tcW w:w="2409" w:type="dxa"/>
            <w:tcBorders>
              <w:top w:val="nil"/>
              <w:left w:val="nil"/>
              <w:bottom w:val="single" w:sz="4" w:space="0" w:color="auto"/>
              <w:right w:val="single" w:sz="4" w:space="0" w:color="auto"/>
            </w:tcBorders>
            <w:shd w:val="clear" w:color="auto" w:fill="auto"/>
            <w:noWrap/>
            <w:vAlign w:val="bottom"/>
          </w:tcPr>
          <w:p w14:paraId="71C33239"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113.39</w:t>
            </w:r>
          </w:p>
        </w:tc>
        <w:tc>
          <w:tcPr>
            <w:tcW w:w="1731" w:type="dxa"/>
            <w:tcBorders>
              <w:top w:val="nil"/>
              <w:left w:val="nil"/>
              <w:bottom w:val="single" w:sz="4" w:space="0" w:color="auto"/>
              <w:right w:val="single" w:sz="4" w:space="0" w:color="auto"/>
            </w:tcBorders>
            <w:shd w:val="clear" w:color="auto" w:fill="auto"/>
            <w:noWrap/>
            <w:vAlign w:val="bottom"/>
          </w:tcPr>
          <w:p w14:paraId="686AA64C"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5.79</w:t>
            </w:r>
          </w:p>
        </w:tc>
      </w:tr>
      <w:tr w:rsidR="007C1958" w:rsidRPr="00FA635B" w14:paraId="797AA4E1" w14:textId="77777777" w:rsidTr="007C1958">
        <w:trPr>
          <w:trHeight w:val="33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2060F423" w14:textId="77777777" w:rsidR="007C1958" w:rsidRPr="00FA635B" w:rsidRDefault="007C1958" w:rsidP="000F6775">
            <w:pP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2019-20</w:t>
            </w:r>
          </w:p>
        </w:tc>
        <w:tc>
          <w:tcPr>
            <w:tcW w:w="2377" w:type="dxa"/>
            <w:tcBorders>
              <w:top w:val="nil"/>
              <w:left w:val="nil"/>
              <w:bottom w:val="single" w:sz="4" w:space="0" w:color="auto"/>
              <w:right w:val="single" w:sz="4" w:space="0" w:color="auto"/>
            </w:tcBorders>
            <w:shd w:val="clear" w:color="auto" w:fill="auto"/>
            <w:noWrap/>
            <w:vAlign w:val="bottom"/>
          </w:tcPr>
          <w:p w14:paraId="4282B49D"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131.88</w:t>
            </w:r>
          </w:p>
        </w:tc>
        <w:tc>
          <w:tcPr>
            <w:tcW w:w="2409" w:type="dxa"/>
            <w:tcBorders>
              <w:top w:val="nil"/>
              <w:left w:val="nil"/>
              <w:bottom w:val="single" w:sz="4" w:space="0" w:color="auto"/>
              <w:right w:val="single" w:sz="4" w:space="0" w:color="auto"/>
            </w:tcBorders>
            <w:shd w:val="clear" w:color="auto" w:fill="auto"/>
            <w:noWrap/>
            <w:vAlign w:val="bottom"/>
          </w:tcPr>
          <w:p w14:paraId="2B57B2F8"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122.24</w:t>
            </w:r>
          </w:p>
        </w:tc>
        <w:tc>
          <w:tcPr>
            <w:tcW w:w="1731" w:type="dxa"/>
            <w:tcBorders>
              <w:top w:val="nil"/>
              <w:left w:val="nil"/>
              <w:bottom w:val="single" w:sz="4" w:space="0" w:color="auto"/>
              <w:right w:val="single" w:sz="4" w:space="0" w:color="auto"/>
            </w:tcBorders>
            <w:shd w:val="clear" w:color="auto" w:fill="auto"/>
            <w:noWrap/>
            <w:vAlign w:val="bottom"/>
          </w:tcPr>
          <w:p w14:paraId="5E7995F4" w14:textId="77777777" w:rsidR="007C1958" w:rsidRPr="00FA635B" w:rsidRDefault="007C1958" w:rsidP="000F6775">
            <w:pPr>
              <w:jc w:val="center"/>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9.64</w:t>
            </w:r>
          </w:p>
        </w:tc>
      </w:tr>
      <w:tr w:rsidR="007C1958" w:rsidRPr="00FA635B" w14:paraId="2BD4BD41" w14:textId="77777777" w:rsidTr="007C1958">
        <w:trPr>
          <w:trHeight w:val="70"/>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71143383" w14:textId="77777777" w:rsidR="007C1958" w:rsidRPr="007C1958" w:rsidRDefault="007C1958" w:rsidP="000F6775">
            <w:pPr>
              <w:rPr>
                <w:rFonts w:asciiTheme="minorHAnsi" w:eastAsia="Times New Roman" w:hAnsiTheme="minorHAnsi" w:cstheme="minorHAnsi"/>
                <w:b/>
                <w:bCs/>
                <w:sz w:val="24"/>
                <w:szCs w:val="24"/>
              </w:rPr>
            </w:pPr>
            <w:r w:rsidRPr="007C1958">
              <w:rPr>
                <w:rFonts w:asciiTheme="minorHAnsi" w:eastAsia="Times New Roman" w:hAnsiTheme="minorHAnsi" w:cstheme="minorHAnsi"/>
                <w:b/>
                <w:bCs/>
                <w:sz w:val="24"/>
                <w:szCs w:val="24"/>
              </w:rPr>
              <w:t>Total</w:t>
            </w:r>
          </w:p>
        </w:tc>
        <w:tc>
          <w:tcPr>
            <w:tcW w:w="2377" w:type="dxa"/>
            <w:tcBorders>
              <w:top w:val="nil"/>
              <w:left w:val="nil"/>
              <w:bottom w:val="single" w:sz="4" w:space="0" w:color="auto"/>
              <w:right w:val="single" w:sz="4" w:space="0" w:color="auto"/>
            </w:tcBorders>
            <w:shd w:val="clear" w:color="auto" w:fill="auto"/>
            <w:noWrap/>
            <w:vAlign w:val="bottom"/>
          </w:tcPr>
          <w:p w14:paraId="2F091876" w14:textId="77777777" w:rsidR="007C1958" w:rsidRPr="007C1958" w:rsidRDefault="007C1958" w:rsidP="000F6775">
            <w:pPr>
              <w:jc w:val="center"/>
              <w:rPr>
                <w:rFonts w:asciiTheme="minorHAnsi" w:eastAsia="Times New Roman" w:hAnsiTheme="minorHAnsi" w:cstheme="minorHAnsi"/>
                <w:b/>
                <w:bCs/>
                <w:sz w:val="24"/>
                <w:szCs w:val="24"/>
              </w:rPr>
            </w:pPr>
            <w:r w:rsidRPr="007C1958">
              <w:rPr>
                <w:rFonts w:asciiTheme="minorHAnsi" w:eastAsia="Times New Roman" w:hAnsiTheme="minorHAnsi" w:cstheme="minorHAnsi"/>
                <w:b/>
                <w:bCs/>
                <w:sz w:val="24"/>
                <w:szCs w:val="24"/>
              </w:rPr>
              <w:t>1,024.21</w:t>
            </w:r>
          </w:p>
        </w:tc>
        <w:tc>
          <w:tcPr>
            <w:tcW w:w="2409" w:type="dxa"/>
            <w:tcBorders>
              <w:top w:val="nil"/>
              <w:left w:val="nil"/>
              <w:bottom w:val="single" w:sz="4" w:space="0" w:color="auto"/>
              <w:right w:val="single" w:sz="4" w:space="0" w:color="auto"/>
            </w:tcBorders>
            <w:shd w:val="clear" w:color="auto" w:fill="auto"/>
            <w:noWrap/>
            <w:vAlign w:val="bottom"/>
          </w:tcPr>
          <w:p w14:paraId="0AFC21B1" w14:textId="77777777" w:rsidR="007C1958" w:rsidRPr="007C1958" w:rsidRDefault="007C1958" w:rsidP="000F6775">
            <w:pPr>
              <w:jc w:val="center"/>
              <w:rPr>
                <w:rFonts w:asciiTheme="minorHAnsi" w:eastAsia="Times New Roman" w:hAnsiTheme="minorHAnsi" w:cstheme="minorHAnsi"/>
                <w:b/>
                <w:bCs/>
                <w:sz w:val="24"/>
                <w:szCs w:val="24"/>
              </w:rPr>
            </w:pPr>
            <w:r w:rsidRPr="007C1958">
              <w:rPr>
                <w:rFonts w:asciiTheme="minorHAnsi" w:eastAsia="Times New Roman" w:hAnsiTheme="minorHAnsi" w:cstheme="minorHAnsi"/>
                <w:b/>
                <w:bCs/>
                <w:sz w:val="24"/>
                <w:szCs w:val="24"/>
              </w:rPr>
              <w:t>816.23</w:t>
            </w:r>
          </w:p>
        </w:tc>
        <w:tc>
          <w:tcPr>
            <w:tcW w:w="1731" w:type="dxa"/>
            <w:tcBorders>
              <w:top w:val="nil"/>
              <w:left w:val="nil"/>
              <w:bottom w:val="single" w:sz="4" w:space="0" w:color="auto"/>
              <w:right w:val="single" w:sz="4" w:space="0" w:color="auto"/>
            </w:tcBorders>
            <w:shd w:val="clear" w:color="auto" w:fill="auto"/>
            <w:noWrap/>
            <w:vAlign w:val="bottom"/>
          </w:tcPr>
          <w:p w14:paraId="05A526F8" w14:textId="77777777" w:rsidR="007C1958" w:rsidRPr="007C1958" w:rsidRDefault="007C1958" w:rsidP="000F6775">
            <w:pPr>
              <w:jc w:val="center"/>
              <w:rPr>
                <w:rFonts w:asciiTheme="minorHAnsi" w:eastAsia="Times New Roman" w:hAnsiTheme="minorHAnsi" w:cstheme="minorHAnsi"/>
                <w:b/>
                <w:bCs/>
                <w:sz w:val="24"/>
                <w:szCs w:val="24"/>
              </w:rPr>
            </w:pPr>
            <w:r w:rsidRPr="007C1958">
              <w:rPr>
                <w:rFonts w:asciiTheme="minorHAnsi" w:eastAsia="Times New Roman" w:hAnsiTheme="minorHAnsi" w:cstheme="minorHAnsi"/>
                <w:b/>
                <w:bCs/>
                <w:sz w:val="24"/>
                <w:szCs w:val="24"/>
              </w:rPr>
              <w:t>207.98</w:t>
            </w:r>
          </w:p>
        </w:tc>
      </w:tr>
    </w:tbl>
    <w:p w14:paraId="0C168D38" w14:textId="77777777" w:rsidR="007C1958" w:rsidRPr="00FA635B" w:rsidRDefault="007C1958" w:rsidP="007C1958">
      <w:pPr>
        <w:pStyle w:val="ListParagraph"/>
        <w:numPr>
          <w:ilvl w:val="0"/>
          <w:numId w:val="25"/>
        </w:numPr>
        <w:spacing w:before="200" w:beforeAutospacing="1" w:after="100" w:afterAutospacing="1" w:line="312" w:lineRule="auto"/>
        <w:jc w:val="both"/>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There is no impact on the depreciation of the previous years due to implementation of EAC opinion.</w:t>
      </w:r>
    </w:p>
    <w:p w14:paraId="5834541D" w14:textId="77777777" w:rsidR="007C1958" w:rsidRPr="00FA635B" w:rsidRDefault="007C1958" w:rsidP="007C1958">
      <w:pPr>
        <w:pStyle w:val="ListParagraph"/>
        <w:numPr>
          <w:ilvl w:val="0"/>
          <w:numId w:val="25"/>
        </w:numPr>
        <w:spacing w:before="200" w:beforeAutospacing="1" w:after="100" w:afterAutospacing="1" w:line="312" w:lineRule="auto"/>
        <w:jc w:val="both"/>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lastRenderedPageBreak/>
        <w:t>The impact of the deferred tax arising due to implementation of EAC opinion has been considered in the Financial Statement for the FY-2020-21 on the retained earnings.</w:t>
      </w:r>
    </w:p>
    <w:p w14:paraId="6A8BD445" w14:textId="77777777" w:rsidR="007C1958" w:rsidRPr="00FA635B" w:rsidRDefault="007C1958" w:rsidP="007C1958">
      <w:pPr>
        <w:pStyle w:val="ListParagraph"/>
        <w:numPr>
          <w:ilvl w:val="0"/>
          <w:numId w:val="25"/>
        </w:numPr>
        <w:spacing w:before="200" w:beforeAutospacing="1" w:after="100" w:afterAutospacing="1" w:line="312" w:lineRule="auto"/>
        <w:jc w:val="both"/>
        <w:rPr>
          <w:rFonts w:asciiTheme="minorHAnsi" w:eastAsia="Times New Roman" w:hAnsiTheme="minorHAnsi" w:cstheme="minorHAnsi"/>
          <w:sz w:val="24"/>
          <w:szCs w:val="24"/>
        </w:rPr>
      </w:pPr>
      <w:r w:rsidRPr="00FA635B">
        <w:rPr>
          <w:rFonts w:asciiTheme="minorHAnsi" w:eastAsia="Times New Roman" w:hAnsiTheme="minorHAnsi" w:cstheme="minorHAnsi"/>
          <w:sz w:val="24"/>
          <w:szCs w:val="24"/>
        </w:rPr>
        <w:t xml:space="preserve">The impact of deferred grant is already incorporated in the financial statements. Further there is no impact on the depreciations. The impact of the income tax arising due to implementation of EAC opinion and will be considered as per the opinion of </w:t>
      </w:r>
      <w:proofErr w:type="gramStart"/>
      <w:r w:rsidRPr="00FA635B">
        <w:rPr>
          <w:rFonts w:asciiTheme="minorHAnsi" w:eastAsia="Times New Roman" w:hAnsiTheme="minorHAnsi" w:cstheme="minorHAnsi"/>
          <w:sz w:val="24"/>
          <w:szCs w:val="24"/>
        </w:rPr>
        <w:t>Consultants</w:t>
      </w:r>
      <w:proofErr w:type="gramEnd"/>
      <w:r w:rsidRPr="00FA635B">
        <w:rPr>
          <w:rFonts w:asciiTheme="minorHAnsi" w:eastAsia="Times New Roman" w:hAnsiTheme="minorHAnsi" w:cstheme="minorHAnsi"/>
          <w:sz w:val="24"/>
          <w:szCs w:val="24"/>
        </w:rPr>
        <w:t xml:space="preserve"> and will be passed on to the consumers as and when received.</w:t>
      </w:r>
    </w:p>
    <w:p w14:paraId="3B881319" w14:textId="77777777" w:rsidR="00602685" w:rsidRPr="00781608" w:rsidRDefault="00A56DF7" w:rsidP="00E85684">
      <w:pPr>
        <w:pStyle w:val="ydp360db5b4yiv6248630976msolistparagraph"/>
        <w:numPr>
          <w:ilvl w:val="0"/>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 xml:space="preserve">Regarding Income Tax, UGVCL should submit the following: </w:t>
      </w:r>
    </w:p>
    <w:p w14:paraId="6E518949" w14:textId="77777777" w:rsidR="00602685" w:rsidRPr="00781608" w:rsidRDefault="00A56DF7" w:rsidP="00E85684">
      <w:pPr>
        <w:pStyle w:val="ydp360db5b4yiv6248630976msolistparagraph"/>
        <w:numPr>
          <w:ilvl w:val="1"/>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 xml:space="preserve">Copies of Challans of Income Tax paid along with the computations of Income </w:t>
      </w:r>
      <w:proofErr w:type="gramStart"/>
      <w:r w:rsidRPr="00781608">
        <w:rPr>
          <w:rFonts w:asciiTheme="minorHAnsi" w:eastAsia="Times New Roman" w:hAnsiTheme="minorHAnsi" w:cstheme="minorHAnsi"/>
          <w:sz w:val="24"/>
          <w:szCs w:val="24"/>
        </w:rPr>
        <w:t>Tax;</w:t>
      </w:r>
      <w:proofErr w:type="gramEnd"/>
    </w:p>
    <w:p w14:paraId="490CA23E" w14:textId="6B2AC257" w:rsidR="009071A4" w:rsidRPr="00781608" w:rsidRDefault="009071A4" w:rsidP="009071A4">
      <w:pPr>
        <w:pStyle w:val="ydp360db5b4yiv6248630976msolistparagraph"/>
        <w:spacing w:beforeAutospacing="0" w:after="200" w:afterAutospacing="0" w:line="276" w:lineRule="auto"/>
        <w:ind w:left="1440"/>
        <w:jc w:val="both"/>
        <w:rPr>
          <w:rFonts w:asciiTheme="minorHAnsi" w:eastAsia="Times New Roman" w:hAnsiTheme="minorHAnsi" w:cstheme="minorHAnsi"/>
          <w:b/>
          <w:bCs/>
          <w:sz w:val="24"/>
          <w:szCs w:val="24"/>
        </w:rPr>
      </w:pPr>
      <w:r w:rsidRPr="00781608">
        <w:rPr>
          <w:rFonts w:asciiTheme="minorHAnsi" w:eastAsia="Times New Roman" w:hAnsiTheme="minorHAnsi" w:cstheme="minorHAnsi"/>
          <w:b/>
          <w:bCs/>
          <w:sz w:val="24"/>
          <w:szCs w:val="24"/>
        </w:rPr>
        <w:t>Compliance:</w:t>
      </w:r>
      <w:r w:rsidR="00005CCE" w:rsidRPr="00781608">
        <w:rPr>
          <w:rFonts w:asciiTheme="minorHAnsi" w:eastAsia="Times New Roman" w:hAnsiTheme="minorHAnsi" w:cstheme="minorHAnsi"/>
          <w:b/>
          <w:bCs/>
          <w:sz w:val="24"/>
          <w:szCs w:val="24"/>
        </w:rPr>
        <w:t xml:space="preserve"> </w:t>
      </w:r>
      <w:r w:rsidR="00005CCE" w:rsidRPr="00781608">
        <w:rPr>
          <w:rFonts w:asciiTheme="minorHAnsi" w:eastAsia="Times New Roman" w:hAnsiTheme="minorHAnsi" w:cstheme="minorHAnsi"/>
          <w:sz w:val="24"/>
          <w:szCs w:val="24"/>
        </w:rPr>
        <w:t xml:space="preserve">Copies of Challans of Income Tax paid is attached herewith as </w:t>
      </w:r>
      <w:r w:rsidR="00005CCE" w:rsidRPr="00781608">
        <w:rPr>
          <w:rFonts w:asciiTheme="minorHAnsi" w:eastAsia="Times New Roman" w:hAnsiTheme="minorHAnsi" w:cstheme="minorHAnsi"/>
          <w:b/>
          <w:bCs/>
          <w:sz w:val="24"/>
          <w:szCs w:val="24"/>
        </w:rPr>
        <w:t xml:space="preserve">Annexure - </w:t>
      </w:r>
      <w:r w:rsidR="00483BB1">
        <w:rPr>
          <w:rFonts w:asciiTheme="minorHAnsi" w:eastAsia="Times New Roman" w:hAnsiTheme="minorHAnsi" w:cstheme="minorHAnsi"/>
          <w:b/>
          <w:bCs/>
          <w:sz w:val="24"/>
          <w:szCs w:val="24"/>
        </w:rPr>
        <w:t>H</w:t>
      </w:r>
      <w:r w:rsidR="00005CCE" w:rsidRPr="00781608">
        <w:rPr>
          <w:rFonts w:asciiTheme="minorHAnsi" w:eastAsia="Times New Roman" w:hAnsiTheme="minorHAnsi" w:cstheme="minorHAnsi"/>
          <w:b/>
          <w:bCs/>
          <w:sz w:val="24"/>
          <w:szCs w:val="24"/>
        </w:rPr>
        <w:t>.</w:t>
      </w:r>
    </w:p>
    <w:p w14:paraId="04B8ED95" w14:textId="77777777" w:rsidR="00A56DF7" w:rsidRPr="00781608" w:rsidRDefault="00A56DF7" w:rsidP="00E85684">
      <w:pPr>
        <w:pStyle w:val="ydp360db5b4yiv6248630976msolistparagraph"/>
        <w:numPr>
          <w:ilvl w:val="1"/>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Confirm whether any refund of income tax has been received in FY 2020-21.</w:t>
      </w:r>
    </w:p>
    <w:p w14:paraId="457F246D" w14:textId="45370D4D" w:rsidR="009071A4" w:rsidRPr="00781608" w:rsidRDefault="009071A4" w:rsidP="009071A4">
      <w:pPr>
        <w:pStyle w:val="ydp360db5b4yiv6248630976msolistparagraph"/>
        <w:spacing w:beforeAutospacing="0" w:after="200" w:afterAutospacing="0" w:line="276" w:lineRule="auto"/>
        <w:ind w:left="1440"/>
        <w:jc w:val="both"/>
        <w:rPr>
          <w:rFonts w:asciiTheme="minorHAnsi" w:eastAsia="Times New Roman" w:hAnsiTheme="minorHAnsi" w:cstheme="minorHAnsi"/>
          <w:b/>
          <w:bCs/>
          <w:sz w:val="24"/>
          <w:szCs w:val="24"/>
        </w:rPr>
      </w:pPr>
      <w:r w:rsidRPr="00781608">
        <w:rPr>
          <w:rFonts w:asciiTheme="minorHAnsi" w:eastAsia="Times New Roman" w:hAnsiTheme="minorHAnsi" w:cstheme="minorHAnsi"/>
          <w:b/>
          <w:bCs/>
          <w:sz w:val="24"/>
          <w:szCs w:val="24"/>
        </w:rPr>
        <w:t xml:space="preserve">Compliance: </w:t>
      </w:r>
      <w:r w:rsidR="007B77AF" w:rsidRPr="00781608">
        <w:rPr>
          <w:rFonts w:asciiTheme="minorHAnsi" w:eastAsia="Times New Roman" w:hAnsiTheme="minorHAnsi" w:cstheme="minorHAnsi"/>
          <w:sz w:val="24"/>
          <w:szCs w:val="24"/>
        </w:rPr>
        <w:t xml:space="preserve">UGVCL has not received any refund during FY 2020-21, as the refund for the AY </w:t>
      </w:r>
      <w:r w:rsidR="00885AC6">
        <w:rPr>
          <w:rFonts w:asciiTheme="minorHAnsi" w:eastAsia="Times New Roman" w:hAnsiTheme="minorHAnsi" w:cstheme="minorHAnsi"/>
          <w:sz w:val="24"/>
          <w:szCs w:val="24"/>
        </w:rPr>
        <w:t>2018-19, AY 2019-2</w:t>
      </w:r>
      <w:r w:rsidR="00885AC6" w:rsidRPr="00885AC6">
        <w:rPr>
          <w:rFonts w:asciiTheme="minorHAnsi" w:eastAsia="Times New Roman" w:hAnsiTheme="minorHAnsi" w:cstheme="minorHAnsi"/>
          <w:sz w:val="24"/>
          <w:szCs w:val="24"/>
        </w:rPr>
        <w:t>0 and AY 2020-21</w:t>
      </w:r>
      <w:r w:rsidR="007B77AF" w:rsidRPr="00885AC6">
        <w:rPr>
          <w:rFonts w:asciiTheme="minorHAnsi" w:eastAsia="Times New Roman" w:hAnsiTheme="minorHAnsi" w:cstheme="minorHAnsi"/>
          <w:sz w:val="24"/>
          <w:szCs w:val="24"/>
        </w:rPr>
        <w:t xml:space="preserve"> has been adjusted against the demand for the AY 201</w:t>
      </w:r>
      <w:r w:rsidR="00885AC6" w:rsidRPr="00885AC6">
        <w:rPr>
          <w:rFonts w:asciiTheme="minorHAnsi" w:eastAsia="Times New Roman" w:hAnsiTheme="minorHAnsi" w:cstheme="minorHAnsi"/>
          <w:sz w:val="24"/>
          <w:szCs w:val="24"/>
        </w:rPr>
        <w:t>7</w:t>
      </w:r>
      <w:r w:rsidR="007B77AF" w:rsidRPr="00885AC6">
        <w:rPr>
          <w:rFonts w:asciiTheme="minorHAnsi" w:eastAsia="Times New Roman" w:hAnsiTheme="minorHAnsi" w:cstheme="minorHAnsi"/>
          <w:sz w:val="24"/>
          <w:szCs w:val="24"/>
        </w:rPr>
        <w:t>-1</w:t>
      </w:r>
      <w:r w:rsidR="00885AC6" w:rsidRPr="00885AC6">
        <w:rPr>
          <w:rFonts w:asciiTheme="minorHAnsi" w:eastAsia="Times New Roman" w:hAnsiTheme="minorHAnsi" w:cstheme="minorHAnsi"/>
          <w:sz w:val="24"/>
          <w:szCs w:val="24"/>
        </w:rPr>
        <w:t>8</w:t>
      </w:r>
      <w:r w:rsidR="007B77AF" w:rsidRPr="00885AC6">
        <w:rPr>
          <w:rFonts w:asciiTheme="minorHAnsi" w:eastAsia="Times New Roman" w:hAnsiTheme="minorHAnsi" w:cstheme="minorHAnsi"/>
          <w:sz w:val="24"/>
          <w:szCs w:val="24"/>
        </w:rPr>
        <w:t>.</w:t>
      </w:r>
    </w:p>
    <w:p w14:paraId="2B1E784E" w14:textId="77777777" w:rsidR="00A56DF7" w:rsidRPr="00781608" w:rsidRDefault="00A56DF7" w:rsidP="00E85684">
      <w:pPr>
        <w:pStyle w:val="ydp360db5b4yiv6248630976msolistparagraph"/>
        <w:spacing w:beforeAutospacing="0" w:after="120" w:afterAutospacing="0" w:line="276" w:lineRule="auto"/>
        <w:ind w:left="993"/>
        <w:jc w:val="both"/>
        <w:rPr>
          <w:rFonts w:asciiTheme="minorHAnsi" w:hAnsiTheme="minorHAnsi" w:cstheme="minorHAnsi"/>
          <w:sz w:val="24"/>
          <w:szCs w:val="24"/>
        </w:rPr>
      </w:pPr>
      <w:r w:rsidRPr="00781608">
        <w:rPr>
          <w:rFonts w:asciiTheme="minorHAnsi" w:hAnsiTheme="minorHAnsi" w:cstheme="minorHAnsi"/>
          <w:sz w:val="24"/>
          <w:szCs w:val="24"/>
        </w:rPr>
        <w:t> </w:t>
      </w:r>
    </w:p>
    <w:p w14:paraId="4AFA1C08" w14:textId="77777777" w:rsidR="00A56DF7" w:rsidRPr="00781608" w:rsidRDefault="00A56DF7" w:rsidP="00E85684">
      <w:pPr>
        <w:pStyle w:val="ydp360db5b4yiv6248630976msolistparagraph"/>
        <w:spacing w:beforeAutospacing="0" w:after="240" w:afterAutospacing="0" w:line="276" w:lineRule="auto"/>
        <w:jc w:val="both"/>
        <w:rPr>
          <w:rFonts w:asciiTheme="minorHAnsi" w:hAnsiTheme="minorHAnsi" w:cstheme="minorHAnsi"/>
          <w:b/>
          <w:bCs/>
          <w:sz w:val="24"/>
          <w:szCs w:val="24"/>
        </w:rPr>
      </w:pPr>
      <w:r w:rsidRPr="00781608">
        <w:rPr>
          <w:rFonts w:asciiTheme="minorHAnsi" w:hAnsiTheme="minorHAnsi" w:cstheme="minorHAnsi"/>
          <w:b/>
          <w:bCs/>
          <w:sz w:val="24"/>
          <w:szCs w:val="24"/>
        </w:rPr>
        <w:t>ARR and Tariff for FY 2022-23</w:t>
      </w:r>
    </w:p>
    <w:p w14:paraId="7812349F" w14:textId="77777777" w:rsidR="00A56DF7" w:rsidRPr="00781608" w:rsidRDefault="00A56DF7" w:rsidP="00E85684">
      <w:pPr>
        <w:pStyle w:val="ydp360db5b4yiv6248630976msolistparagraph"/>
        <w:numPr>
          <w:ilvl w:val="0"/>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 xml:space="preserve">UGVCL should submit the actual category-wise and slab wise sales in H1 of FY 2021-22. </w:t>
      </w:r>
    </w:p>
    <w:p w14:paraId="6D79B02B" w14:textId="447E710D" w:rsidR="009B323A" w:rsidRPr="00781608" w:rsidRDefault="009B323A" w:rsidP="009B323A">
      <w:pPr>
        <w:pStyle w:val="ydp360db5b4yiv6248630976msolistparagraph"/>
        <w:spacing w:beforeAutospacing="0" w:after="200" w:afterAutospacing="0" w:line="276" w:lineRule="auto"/>
        <w:ind w:left="720"/>
        <w:jc w:val="both"/>
        <w:rPr>
          <w:rFonts w:asciiTheme="minorHAnsi" w:eastAsia="Times New Roman" w:hAnsiTheme="minorHAnsi" w:cstheme="minorHAnsi"/>
          <w:sz w:val="24"/>
          <w:szCs w:val="24"/>
        </w:rPr>
      </w:pPr>
      <w:r w:rsidRPr="00781608">
        <w:rPr>
          <w:rFonts w:asciiTheme="minorHAnsi" w:eastAsia="Times New Roman" w:hAnsiTheme="minorHAnsi" w:cstheme="minorHAnsi"/>
          <w:b/>
          <w:bCs/>
          <w:sz w:val="24"/>
          <w:szCs w:val="24"/>
        </w:rPr>
        <w:t xml:space="preserve">Compliance: </w:t>
      </w:r>
      <w:r w:rsidRPr="00781608">
        <w:rPr>
          <w:rFonts w:asciiTheme="minorHAnsi" w:eastAsia="Times New Roman" w:hAnsiTheme="minorHAnsi" w:cstheme="minorHAnsi"/>
          <w:sz w:val="24"/>
          <w:szCs w:val="24"/>
        </w:rPr>
        <w:t>Details of</w:t>
      </w:r>
      <w:r w:rsidRPr="00781608">
        <w:rPr>
          <w:rFonts w:asciiTheme="minorHAnsi" w:eastAsia="Times New Roman" w:hAnsiTheme="minorHAnsi" w:cstheme="minorHAnsi"/>
          <w:b/>
          <w:bCs/>
          <w:sz w:val="24"/>
          <w:szCs w:val="24"/>
        </w:rPr>
        <w:t xml:space="preserve"> </w:t>
      </w:r>
      <w:r w:rsidRPr="00781608">
        <w:rPr>
          <w:rFonts w:asciiTheme="minorHAnsi" w:eastAsia="Times New Roman" w:hAnsiTheme="minorHAnsi" w:cstheme="minorHAnsi"/>
          <w:sz w:val="24"/>
          <w:szCs w:val="24"/>
        </w:rPr>
        <w:t xml:space="preserve">actual category-wise and slab wise sales in H1 of FY 2021-22 is attached herewith as </w:t>
      </w:r>
      <w:r w:rsidRPr="00781608">
        <w:rPr>
          <w:rFonts w:asciiTheme="minorHAnsi" w:eastAsia="Times New Roman" w:hAnsiTheme="minorHAnsi" w:cstheme="minorHAnsi"/>
          <w:b/>
          <w:bCs/>
          <w:sz w:val="24"/>
          <w:szCs w:val="24"/>
        </w:rPr>
        <w:t>Annexure –</w:t>
      </w:r>
      <w:r w:rsidR="00483BB1">
        <w:rPr>
          <w:rFonts w:asciiTheme="minorHAnsi" w:eastAsia="Times New Roman" w:hAnsiTheme="minorHAnsi" w:cstheme="minorHAnsi"/>
          <w:b/>
          <w:bCs/>
          <w:sz w:val="24"/>
          <w:szCs w:val="24"/>
        </w:rPr>
        <w:t>I</w:t>
      </w:r>
      <w:r w:rsidRPr="00781608">
        <w:rPr>
          <w:rFonts w:asciiTheme="minorHAnsi" w:eastAsia="Times New Roman" w:hAnsiTheme="minorHAnsi" w:cstheme="minorHAnsi"/>
          <w:b/>
          <w:bCs/>
          <w:sz w:val="24"/>
          <w:szCs w:val="24"/>
        </w:rPr>
        <w:t>.</w:t>
      </w:r>
      <w:r w:rsidRPr="00781608">
        <w:rPr>
          <w:rFonts w:asciiTheme="minorHAnsi" w:eastAsia="Times New Roman" w:hAnsiTheme="minorHAnsi" w:cstheme="minorHAnsi"/>
          <w:sz w:val="24"/>
          <w:szCs w:val="24"/>
        </w:rPr>
        <w:t xml:space="preserve"> </w:t>
      </w:r>
    </w:p>
    <w:p w14:paraId="70685DED" w14:textId="77777777" w:rsidR="009B323A" w:rsidRPr="00781608" w:rsidRDefault="009B323A" w:rsidP="009B323A">
      <w:pPr>
        <w:pStyle w:val="ydp360db5b4yiv6248630976msolistparagraph"/>
        <w:spacing w:beforeAutospacing="0" w:after="200" w:afterAutospacing="0" w:line="276" w:lineRule="auto"/>
        <w:ind w:left="720"/>
        <w:jc w:val="both"/>
        <w:rPr>
          <w:rFonts w:asciiTheme="minorHAnsi" w:eastAsia="Times New Roman" w:hAnsiTheme="minorHAnsi" w:cstheme="minorHAnsi"/>
          <w:b/>
          <w:bCs/>
          <w:sz w:val="24"/>
          <w:szCs w:val="24"/>
        </w:rPr>
      </w:pPr>
    </w:p>
    <w:p w14:paraId="6EE8341F" w14:textId="77777777" w:rsidR="00A56DF7" w:rsidRPr="00781608" w:rsidRDefault="00A56DF7" w:rsidP="00E85684">
      <w:pPr>
        <w:pStyle w:val="ydp360db5b4yiv6248630976msolistparagraph"/>
        <w:numPr>
          <w:ilvl w:val="0"/>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 xml:space="preserve">With reference to Para 4.6.2, UGVCL should provide details of necessary adjustment made in fixed cost in case of higher/lower payment during FY 2020-21 due to specific reasons. </w:t>
      </w:r>
    </w:p>
    <w:p w14:paraId="5D24802C" w14:textId="5FDF9C76" w:rsidR="00090F6D" w:rsidRPr="00781608" w:rsidRDefault="00836677" w:rsidP="00E85684">
      <w:pPr>
        <w:pStyle w:val="ydp360db5b4yiv6248630976msolistparagraph"/>
        <w:spacing w:beforeAutospacing="0" w:after="200" w:afterAutospacing="0" w:line="276" w:lineRule="auto"/>
        <w:ind w:left="720"/>
        <w:jc w:val="both"/>
        <w:rPr>
          <w:rFonts w:asciiTheme="minorHAnsi" w:eastAsia="Times New Roman" w:hAnsiTheme="minorHAnsi" w:cstheme="minorHAnsi"/>
          <w:b/>
          <w:bCs/>
          <w:sz w:val="24"/>
          <w:szCs w:val="24"/>
        </w:rPr>
      </w:pPr>
      <w:r w:rsidRPr="00781608">
        <w:rPr>
          <w:rFonts w:asciiTheme="minorHAnsi" w:eastAsia="Times New Roman" w:hAnsiTheme="minorHAnsi" w:cstheme="minorHAnsi"/>
          <w:b/>
          <w:bCs/>
          <w:sz w:val="24"/>
          <w:szCs w:val="24"/>
        </w:rPr>
        <w:t>Compliance</w:t>
      </w:r>
      <w:r w:rsidR="00090F6D" w:rsidRPr="00781608">
        <w:rPr>
          <w:rFonts w:asciiTheme="minorHAnsi" w:eastAsia="Times New Roman" w:hAnsiTheme="minorHAnsi" w:cstheme="minorHAnsi"/>
          <w:b/>
          <w:bCs/>
          <w:sz w:val="24"/>
          <w:szCs w:val="24"/>
        </w:rPr>
        <w:t>:</w:t>
      </w:r>
    </w:p>
    <w:tbl>
      <w:tblPr>
        <w:tblW w:w="854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2079"/>
        <w:gridCol w:w="5528"/>
      </w:tblGrid>
      <w:tr w:rsidR="005975B8" w:rsidRPr="00781608" w14:paraId="741AE02F" w14:textId="77777777" w:rsidTr="00D944B7">
        <w:trPr>
          <w:trHeight w:val="300"/>
          <w:tblHeader/>
        </w:trPr>
        <w:tc>
          <w:tcPr>
            <w:tcW w:w="939" w:type="dxa"/>
            <w:shd w:val="clear" w:color="000000" w:fill="DDEBF7"/>
            <w:noWrap/>
            <w:hideMark/>
          </w:tcPr>
          <w:p w14:paraId="7F1382D5" w14:textId="77777777" w:rsidR="005975B8" w:rsidRPr="00781608" w:rsidRDefault="005975B8" w:rsidP="00D944B7">
            <w:pPr>
              <w:spacing w:line="276" w:lineRule="auto"/>
              <w:jc w:val="center"/>
              <w:rPr>
                <w:rFonts w:asciiTheme="minorHAnsi" w:eastAsia="Times New Roman" w:hAnsiTheme="minorHAnsi" w:cstheme="minorHAnsi"/>
                <w:b/>
                <w:bCs/>
              </w:rPr>
            </w:pPr>
            <w:bookmarkStart w:id="13" w:name="_Hlk93157141"/>
            <w:r w:rsidRPr="00781608">
              <w:rPr>
                <w:rFonts w:asciiTheme="minorHAnsi" w:hAnsiTheme="minorHAnsi" w:cstheme="minorHAnsi"/>
                <w:b/>
                <w:bCs/>
              </w:rPr>
              <w:t>Sr. No.</w:t>
            </w:r>
          </w:p>
        </w:tc>
        <w:tc>
          <w:tcPr>
            <w:tcW w:w="2079" w:type="dxa"/>
            <w:shd w:val="clear" w:color="000000" w:fill="DDEBF7"/>
            <w:hideMark/>
          </w:tcPr>
          <w:p w14:paraId="2A8F1BC4" w14:textId="77777777" w:rsidR="005975B8" w:rsidRPr="00781608" w:rsidRDefault="005975B8" w:rsidP="00D944B7">
            <w:pPr>
              <w:spacing w:line="276" w:lineRule="auto"/>
              <w:jc w:val="center"/>
              <w:rPr>
                <w:rFonts w:asciiTheme="minorHAnsi" w:hAnsiTheme="minorHAnsi" w:cstheme="minorHAnsi"/>
                <w:b/>
                <w:bCs/>
              </w:rPr>
            </w:pPr>
            <w:r w:rsidRPr="00781608">
              <w:rPr>
                <w:rFonts w:asciiTheme="minorHAnsi" w:hAnsiTheme="minorHAnsi" w:cstheme="minorHAnsi"/>
                <w:b/>
                <w:bCs/>
              </w:rPr>
              <w:t>Plant Name</w:t>
            </w:r>
          </w:p>
        </w:tc>
        <w:tc>
          <w:tcPr>
            <w:tcW w:w="5528" w:type="dxa"/>
            <w:shd w:val="clear" w:color="000000" w:fill="DDEBF7"/>
            <w:hideMark/>
          </w:tcPr>
          <w:p w14:paraId="4F2907BE" w14:textId="77777777" w:rsidR="005975B8" w:rsidRPr="00781608" w:rsidRDefault="005975B8" w:rsidP="00D944B7">
            <w:pPr>
              <w:spacing w:line="276" w:lineRule="auto"/>
              <w:jc w:val="center"/>
              <w:rPr>
                <w:rFonts w:asciiTheme="minorHAnsi" w:eastAsia="Times New Roman" w:hAnsiTheme="minorHAnsi" w:cstheme="minorHAnsi"/>
                <w:b/>
                <w:bCs/>
              </w:rPr>
            </w:pPr>
            <w:r w:rsidRPr="00781608">
              <w:rPr>
                <w:rFonts w:asciiTheme="minorHAnsi" w:hAnsiTheme="minorHAnsi" w:cstheme="minorHAnsi"/>
                <w:b/>
                <w:bCs/>
              </w:rPr>
              <w:t>Reason for adjustment in Fixed Cost</w:t>
            </w:r>
          </w:p>
        </w:tc>
      </w:tr>
      <w:tr w:rsidR="005975B8" w:rsidRPr="00781608" w14:paraId="5767D974" w14:textId="77777777" w:rsidTr="00D944B7">
        <w:trPr>
          <w:trHeight w:val="300"/>
        </w:trPr>
        <w:tc>
          <w:tcPr>
            <w:tcW w:w="939" w:type="dxa"/>
            <w:shd w:val="clear" w:color="auto" w:fill="auto"/>
            <w:hideMark/>
          </w:tcPr>
          <w:p w14:paraId="461754F3" w14:textId="77777777" w:rsidR="005975B8" w:rsidRPr="00781608" w:rsidRDefault="005975B8" w:rsidP="00D944B7">
            <w:pPr>
              <w:spacing w:line="276" w:lineRule="auto"/>
              <w:jc w:val="center"/>
              <w:rPr>
                <w:rFonts w:asciiTheme="minorHAnsi" w:eastAsia="Times New Roman" w:hAnsiTheme="minorHAnsi" w:cstheme="minorHAnsi"/>
              </w:rPr>
            </w:pPr>
            <w:r w:rsidRPr="00781608">
              <w:rPr>
                <w:rFonts w:asciiTheme="minorHAnsi" w:hAnsiTheme="minorHAnsi" w:cstheme="minorHAnsi"/>
              </w:rPr>
              <w:t>1</w:t>
            </w:r>
          </w:p>
        </w:tc>
        <w:tc>
          <w:tcPr>
            <w:tcW w:w="2079" w:type="dxa"/>
            <w:shd w:val="clear" w:color="auto" w:fill="auto"/>
            <w:noWrap/>
          </w:tcPr>
          <w:p w14:paraId="0822BB15" w14:textId="77777777" w:rsidR="005975B8" w:rsidRPr="00781608" w:rsidRDefault="005975B8" w:rsidP="00D944B7">
            <w:pPr>
              <w:spacing w:line="276" w:lineRule="auto"/>
              <w:rPr>
                <w:rFonts w:asciiTheme="minorHAnsi" w:eastAsia="Times New Roman" w:hAnsiTheme="minorHAnsi" w:cstheme="minorHAnsi"/>
              </w:rPr>
            </w:pPr>
            <w:r w:rsidRPr="00781608">
              <w:rPr>
                <w:rFonts w:asciiTheme="minorHAnsi" w:hAnsiTheme="minorHAnsi" w:cstheme="minorHAnsi"/>
              </w:rPr>
              <w:t>NTPC-</w:t>
            </w:r>
            <w:proofErr w:type="spellStart"/>
            <w:r w:rsidRPr="00781608">
              <w:rPr>
                <w:rFonts w:asciiTheme="minorHAnsi" w:hAnsiTheme="minorHAnsi" w:cstheme="minorHAnsi"/>
              </w:rPr>
              <w:t>Vindhyachal</w:t>
            </w:r>
            <w:proofErr w:type="spellEnd"/>
            <w:r w:rsidRPr="00781608">
              <w:rPr>
                <w:rFonts w:asciiTheme="minorHAnsi" w:hAnsiTheme="minorHAnsi" w:cstheme="minorHAnsi"/>
              </w:rPr>
              <w:t xml:space="preserve"> - I</w:t>
            </w:r>
          </w:p>
        </w:tc>
        <w:tc>
          <w:tcPr>
            <w:tcW w:w="5528" w:type="dxa"/>
            <w:shd w:val="clear" w:color="auto" w:fill="auto"/>
            <w:noWrap/>
          </w:tcPr>
          <w:p w14:paraId="376FCF13" w14:textId="77777777" w:rsidR="005975B8" w:rsidRPr="00781608" w:rsidRDefault="005975B8" w:rsidP="00D944B7">
            <w:pPr>
              <w:spacing w:line="276" w:lineRule="auto"/>
              <w:jc w:val="both"/>
              <w:rPr>
                <w:rFonts w:asciiTheme="minorHAnsi" w:eastAsia="Times New Roman" w:hAnsiTheme="minorHAnsi" w:cstheme="minorHAnsi"/>
              </w:rPr>
            </w:pPr>
            <w:r w:rsidRPr="00781608">
              <w:rPr>
                <w:rFonts w:asciiTheme="minorHAnsi" w:hAnsiTheme="minorHAnsi" w:cstheme="minorHAnsi"/>
              </w:rPr>
              <w:t>Higher availability is considered for FY 2022-23 as compared to FY 2020-21 and hence higher fixed cost</w:t>
            </w:r>
          </w:p>
        </w:tc>
      </w:tr>
      <w:tr w:rsidR="005975B8" w:rsidRPr="00781608" w14:paraId="714C584C" w14:textId="77777777" w:rsidTr="00D944B7">
        <w:trPr>
          <w:trHeight w:val="300"/>
        </w:trPr>
        <w:tc>
          <w:tcPr>
            <w:tcW w:w="939" w:type="dxa"/>
            <w:shd w:val="clear" w:color="auto" w:fill="auto"/>
            <w:hideMark/>
          </w:tcPr>
          <w:p w14:paraId="460E10E8" w14:textId="77777777" w:rsidR="005975B8" w:rsidRPr="00781608" w:rsidRDefault="005975B8" w:rsidP="00D944B7">
            <w:pPr>
              <w:spacing w:line="276" w:lineRule="auto"/>
              <w:jc w:val="center"/>
              <w:rPr>
                <w:rFonts w:asciiTheme="minorHAnsi" w:eastAsia="Times New Roman" w:hAnsiTheme="minorHAnsi" w:cstheme="minorHAnsi"/>
              </w:rPr>
            </w:pPr>
            <w:r w:rsidRPr="00781608">
              <w:rPr>
                <w:rFonts w:asciiTheme="minorHAnsi" w:hAnsiTheme="minorHAnsi" w:cstheme="minorHAnsi"/>
              </w:rPr>
              <w:t>2</w:t>
            </w:r>
          </w:p>
        </w:tc>
        <w:tc>
          <w:tcPr>
            <w:tcW w:w="2079" w:type="dxa"/>
            <w:shd w:val="clear" w:color="auto" w:fill="auto"/>
            <w:noWrap/>
          </w:tcPr>
          <w:p w14:paraId="24AB5EFD" w14:textId="77777777" w:rsidR="005975B8" w:rsidRPr="00781608" w:rsidRDefault="005975B8" w:rsidP="00D944B7">
            <w:pPr>
              <w:spacing w:line="276" w:lineRule="auto"/>
              <w:rPr>
                <w:rFonts w:asciiTheme="minorHAnsi" w:eastAsia="Times New Roman" w:hAnsiTheme="minorHAnsi" w:cstheme="minorHAnsi"/>
              </w:rPr>
            </w:pPr>
            <w:r w:rsidRPr="00781608">
              <w:rPr>
                <w:rFonts w:asciiTheme="minorHAnsi" w:hAnsiTheme="minorHAnsi" w:cstheme="minorHAnsi"/>
              </w:rPr>
              <w:t>NTPC-</w:t>
            </w:r>
            <w:proofErr w:type="spellStart"/>
            <w:r w:rsidRPr="00781608">
              <w:rPr>
                <w:rFonts w:asciiTheme="minorHAnsi" w:hAnsiTheme="minorHAnsi" w:cstheme="minorHAnsi"/>
              </w:rPr>
              <w:t>Vindhyachal</w:t>
            </w:r>
            <w:proofErr w:type="spellEnd"/>
            <w:r w:rsidRPr="00781608">
              <w:rPr>
                <w:rFonts w:asciiTheme="minorHAnsi" w:hAnsiTheme="minorHAnsi" w:cstheme="minorHAnsi"/>
              </w:rPr>
              <w:t xml:space="preserve"> - </w:t>
            </w:r>
            <w:r w:rsidRPr="00781608">
              <w:rPr>
                <w:rFonts w:asciiTheme="minorHAnsi" w:hAnsiTheme="minorHAnsi" w:cstheme="minorHAnsi"/>
              </w:rPr>
              <w:lastRenderedPageBreak/>
              <w:t>II</w:t>
            </w:r>
          </w:p>
        </w:tc>
        <w:tc>
          <w:tcPr>
            <w:tcW w:w="5528" w:type="dxa"/>
            <w:shd w:val="clear" w:color="auto" w:fill="auto"/>
            <w:noWrap/>
          </w:tcPr>
          <w:p w14:paraId="5D67C70E" w14:textId="77777777" w:rsidR="005975B8" w:rsidRPr="00781608" w:rsidRDefault="005975B8" w:rsidP="00D944B7">
            <w:pPr>
              <w:spacing w:line="276" w:lineRule="auto"/>
              <w:jc w:val="both"/>
              <w:rPr>
                <w:rFonts w:asciiTheme="minorHAnsi" w:eastAsia="Times New Roman" w:hAnsiTheme="minorHAnsi" w:cstheme="minorHAnsi"/>
              </w:rPr>
            </w:pPr>
            <w:r w:rsidRPr="00781608">
              <w:rPr>
                <w:rFonts w:asciiTheme="minorHAnsi" w:hAnsiTheme="minorHAnsi" w:cstheme="minorHAnsi"/>
              </w:rPr>
              <w:lastRenderedPageBreak/>
              <w:t xml:space="preserve">Higher availability is considered for FY 2022-23 as </w:t>
            </w:r>
            <w:r w:rsidRPr="00781608">
              <w:rPr>
                <w:rFonts w:asciiTheme="minorHAnsi" w:hAnsiTheme="minorHAnsi" w:cstheme="minorHAnsi"/>
              </w:rPr>
              <w:lastRenderedPageBreak/>
              <w:t>compared to FY 2020-21 and hence higher fixed cost</w:t>
            </w:r>
          </w:p>
        </w:tc>
      </w:tr>
      <w:tr w:rsidR="005975B8" w:rsidRPr="00781608" w14:paraId="32522DDB" w14:textId="77777777" w:rsidTr="00D944B7">
        <w:trPr>
          <w:trHeight w:val="300"/>
        </w:trPr>
        <w:tc>
          <w:tcPr>
            <w:tcW w:w="939" w:type="dxa"/>
            <w:shd w:val="clear" w:color="auto" w:fill="auto"/>
          </w:tcPr>
          <w:p w14:paraId="18E45140" w14:textId="77777777" w:rsidR="005975B8" w:rsidRPr="00781608" w:rsidRDefault="005975B8" w:rsidP="00D944B7">
            <w:pPr>
              <w:spacing w:line="276" w:lineRule="auto"/>
              <w:jc w:val="center"/>
              <w:rPr>
                <w:rFonts w:asciiTheme="minorHAnsi" w:eastAsia="Times New Roman" w:hAnsiTheme="minorHAnsi" w:cstheme="minorHAnsi"/>
              </w:rPr>
            </w:pPr>
            <w:r w:rsidRPr="00781608">
              <w:rPr>
                <w:rFonts w:asciiTheme="minorHAnsi" w:hAnsiTheme="minorHAnsi" w:cstheme="minorHAnsi"/>
              </w:rPr>
              <w:lastRenderedPageBreak/>
              <w:t>3</w:t>
            </w:r>
          </w:p>
        </w:tc>
        <w:tc>
          <w:tcPr>
            <w:tcW w:w="2079" w:type="dxa"/>
            <w:shd w:val="clear" w:color="auto" w:fill="auto"/>
            <w:noWrap/>
          </w:tcPr>
          <w:p w14:paraId="0A0DBE9F" w14:textId="77777777" w:rsidR="005975B8" w:rsidRPr="00781608" w:rsidRDefault="005975B8" w:rsidP="00D944B7">
            <w:pPr>
              <w:spacing w:line="276" w:lineRule="auto"/>
              <w:rPr>
                <w:rFonts w:asciiTheme="minorHAnsi" w:eastAsia="Times New Roman" w:hAnsiTheme="minorHAnsi" w:cstheme="minorHAnsi"/>
              </w:rPr>
            </w:pPr>
            <w:r w:rsidRPr="00781608">
              <w:rPr>
                <w:rFonts w:asciiTheme="minorHAnsi" w:hAnsiTheme="minorHAnsi" w:cstheme="minorHAnsi"/>
              </w:rPr>
              <w:t>NTPC-</w:t>
            </w:r>
            <w:proofErr w:type="spellStart"/>
            <w:r w:rsidRPr="00781608">
              <w:rPr>
                <w:rFonts w:asciiTheme="minorHAnsi" w:hAnsiTheme="minorHAnsi" w:cstheme="minorHAnsi"/>
              </w:rPr>
              <w:t>Vindhyachal</w:t>
            </w:r>
            <w:proofErr w:type="spellEnd"/>
            <w:r w:rsidRPr="00781608">
              <w:rPr>
                <w:rFonts w:asciiTheme="minorHAnsi" w:hAnsiTheme="minorHAnsi" w:cstheme="minorHAnsi"/>
              </w:rPr>
              <w:t xml:space="preserve"> - III</w:t>
            </w:r>
          </w:p>
        </w:tc>
        <w:tc>
          <w:tcPr>
            <w:tcW w:w="5528" w:type="dxa"/>
            <w:shd w:val="clear" w:color="auto" w:fill="auto"/>
            <w:noWrap/>
          </w:tcPr>
          <w:p w14:paraId="4C56A058" w14:textId="77777777" w:rsidR="005975B8" w:rsidRPr="00781608" w:rsidRDefault="005975B8" w:rsidP="00D944B7">
            <w:pPr>
              <w:spacing w:line="276" w:lineRule="auto"/>
              <w:jc w:val="both"/>
              <w:rPr>
                <w:rFonts w:asciiTheme="minorHAnsi" w:eastAsia="Times New Roman" w:hAnsiTheme="minorHAnsi" w:cstheme="minorHAnsi"/>
              </w:rPr>
            </w:pPr>
            <w:r w:rsidRPr="00781608">
              <w:rPr>
                <w:rFonts w:asciiTheme="minorHAnsi" w:hAnsiTheme="minorHAnsi" w:cstheme="minorHAnsi"/>
              </w:rPr>
              <w:t>Higher availability is considered for FY 2022-23 as compared to FY 2020-21 and hence higher fixed cost</w:t>
            </w:r>
          </w:p>
        </w:tc>
      </w:tr>
      <w:tr w:rsidR="005975B8" w:rsidRPr="00781608" w14:paraId="3388279F" w14:textId="77777777" w:rsidTr="00D944B7">
        <w:trPr>
          <w:trHeight w:val="300"/>
        </w:trPr>
        <w:tc>
          <w:tcPr>
            <w:tcW w:w="939" w:type="dxa"/>
            <w:shd w:val="clear" w:color="auto" w:fill="auto"/>
          </w:tcPr>
          <w:p w14:paraId="15B5F4E4" w14:textId="77777777" w:rsidR="005975B8" w:rsidRPr="00781608" w:rsidRDefault="005975B8" w:rsidP="00D944B7">
            <w:pPr>
              <w:spacing w:line="276" w:lineRule="auto"/>
              <w:jc w:val="center"/>
              <w:rPr>
                <w:rFonts w:asciiTheme="minorHAnsi" w:eastAsia="Times New Roman" w:hAnsiTheme="minorHAnsi" w:cstheme="minorHAnsi"/>
              </w:rPr>
            </w:pPr>
            <w:r w:rsidRPr="00781608">
              <w:rPr>
                <w:rFonts w:asciiTheme="minorHAnsi" w:hAnsiTheme="minorHAnsi" w:cstheme="minorHAnsi"/>
              </w:rPr>
              <w:t>4</w:t>
            </w:r>
          </w:p>
        </w:tc>
        <w:tc>
          <w:tcPr>
            <w:tcW w:w="2079" w:type="dxa"/>
            <w:shd w:val="clear" w:color="auto" w:fill="auto"/>
            <w:noWrap/>
          </w:tcPr>
          <w:p w14:paraId="00808980" w14:textId="77777777" w:rsidR="005975B8" w:rsidRPr="00781608" w:rsidRDefault="005975B8" w:rsidP="00D944B7">
            <w:pPr>
              <w:spacing w:line="276" w:lineRule="auto"/>
              <w:rPr>
                <w:rFonts w:asciiTheme="minorHAnsi" w:eastAsia="Times New Roman" w:hAnsiTheme="minorHAnsi" w:cstheme="minorHAnsi"/>
              </w:rPr>
            </w:pPr>
            <w:r w:rsidRPr="00781608">
              <w:rPr>
                <w:rFonts w:asciiTheme="minorHAnsi" w:hAnsiTheme="minorHAnsi" w:cstheme="minorHAnsi"/>
              </w:rPr>
              <w:t>NTPC-</w:t>
            </w:r>
            <w:proofErr w:type="spellStart"/>
            <w:r w:rsidRPr="00781608">
              <w:rPr>
                <w:rFonts w:asciiTheme="minorHAnsi" w:hAnsiTheme="minorHAnsi" w:cstheme="minorHAnsi"/>
              </w:rPr>
              <w:t>Korba</w:t>
            </w:r>
            <w:proofErr w:type="spellEnd"/>
          </w:p>
        </w:tc>
        <w:tc>
          <w:tcPr>
            <w:tcW w:w="5528" w:type="dxa"/>
            <w:shd w:val="clear" w:color="auto" w:fill="auto"/>
            <w:noWrap/>
          </w:tcPr>
          <w:p w14:paraId="5E27AF97" w14:textId="77777777" w:rsidR="005975B8" w:rsidRPr="00781608" w:rsidRDefault="005975B8" w:rsidP="00D944B7">
            <w:pPr>
              <w:spacing w:line="276" w:lineRule="auto"/>
              <w:jc w:val="both"/>
              <w:rPr>
                <w:rFonts w:asciiTheme="minorHAnsi" w:eastAsia="Times New Roman" w:hAnsiTheme="minorHAnsi" w:cstheme="minorHAnsi"/>
              </w:rPr>
            </w:pPr>
            <w:r w:rsidRPr="00781608">
              <w:rPr>
                <w:rFonts w:asciiTheme="minorHAnsi" w:hAnsiTheme="minorHAnsi" w:cstheme="minorHAnsi"/>
              </w:rPr>
              <w:t>Higher availability is considered for FY 2022-23 as compared to FY 2020-21 and hence higher fixed cost</w:t>
            </w:r>
          </w:p>
        </w:tc>
      </w:tr>
      <w:tr w:rsidR="005975B8" w:rsidRPr="00781608" w14:paraId="1D291FCB" w14:textId="77777777" w:rsidTr="00D944B7">
        <w:trPr>
          <w:trHeight w:val="300"/>
        </w:trPr>
        <w:tc>
          <w:tcPr>
            <w:tcW w:w="939" w:type="dxa"/>
            <w:shd w:val="clear" w:color="auto" w:fill="auto"/>
          </w:tcPr>
          <w:p w14:paraId="0964D60F" w14:textId="77777777" w:rsidR="005975B8" w:rsidRPr="00781608" w:rsidRDefault="005975B8" w:rsidP="00D944B7">
            <w:pPr>
              <w:spacing w:line="276" w:lineRule="auto"/>
              <w:jc w:val="center"/>
              <w:rPr>
                <w:rFonts w:asciiTheme="minorHAnsi" w:hAnsiTheme="minorHAnsi" w:cstheme="minorHAnsi"/>
              </w:rPr>
            </w:pPr>
            <w:r w:rsidRPr="00781608">
              <w:rPr>
                <w:rFonts w:asciiTheme="minorHAnsi" w:hAnsiTheme="minorHAnsi" w:cstheme="minorHAnsi"/>
              </w:rPr>
              <w:t>5</w:t>
            </w:r>
          </w:p>
        </w:tc>
        <w:tc>
          <w:tcPr>
            <w:tcW w:w="2079" w:type="dxa"/>
            <w:shd w:val="clear" w:color="auto" w:fill="auto"/>
            <w:noWrap/>
          </w:tcPr>
          <w:p w14:paraId="7C74A203" w14:textId="77777777" w:rsidR="005975B8" w:rsidRPr="00781608" w:rsidRDefault="005975B8" w:rsidP="00D944B7">
            <w:pPr>
              <w:spacing w:line="276" w:lineRule="auto"/>
              <w:rPr>
                <w:rFonts w:asciiTheme="minorHAnsi" w:eastAsia="Times New Roman" w:hAnsiTheme="minorHAnsi" w:cstheme="minorHAnsi"/>
              </w:rPr>
            </w:pPr>
            <w:r w:rsidRPr="00781608">
              <w:rPr>
                <w:rFonts w:asciiTheme="minorHAnsi" w:hAnsiTheme="minorHAnsi" w:cstheme="minorHAnsi"/>
              </w:rPr>
              <w:t>NTPC-</w:t>
            </w:r>
            <w:proofErr w:type="spellStart"/>
            <w:r w:rsidRPr="00781608">
              <w:rPr>
                <w:rFonts w:asciiTheme="minorHAnsi" w:hAnsiTheme="minorHAnsi" w:cstheme="minorHAnsi"/>
              </w:rPr>
              <w:t>Korba</w:t>
            </w:r>
            <w:proofErr w:type="spellEnd"/>
            <w:r w:rsidRPr="00781608">
              <w:rPr>
                <w:rFonts w:asciiTheme="minorHAnsi" w:hAnsiTheme="minorHAnsi" w:cstheme="minorHAnsi"/>
              </w:rPr>
              <w:t xml:space="preserve"> -III</w:t>
            </w:r>
          </w:p>
        </w:tc>
        <w:tc>
          <w:tcPr>
            <w:tcW w:w="5528" w:type="dxa"/>
            <w:shd w:val="clear" w:color="auto" w:fill="auto"/>
            <w:noWrap/>
          </w:tcPr>
          <w:p w14:paraId="21783F82" w14:textId="77777777" w:rsidR="005975B8" w:rsidRPr="00781608" w:rsidRDefault="005975B8" w:rsidP="00D944B7">
            <w:pPr>
              <w:spacing w:line="276" w:lineRule="auto"/>
              <w:jc w:val="both"/>
              <w:rPr>
                <w:rFonts w:asciiTheme="minorHAnsi" w:eastAsia="Times New Roman" w:hAnsiTheme="minorHAnsi" w:cstheme="minorHAnsi"/>
              </w:rPr>
            </w:pPr>
            <w:r w:rsidRPr="00781608">
              <w:rPr>
                <w:rFonts w:asciiTheme="minorHAnsi" w:hAnsiTheme="minorHAnsi" w:cstheme="minorHAnsi"/>
              </w:rPr>
              <w:t>Higher availability is considered for FY 2022-23 as compared to FY 2020-21 and hence higher fixed cost</w:t>
            </w:r>
          </w:p>
        </w:tc>
      </w:tr>
      <w:tr w:rsidR="005975B8" w:rsidRPr="00781608" w14:paraId="43995806" w14:textId="77777777" w:rsidTr="00D944B7">
        <w:trPr>
          <w:trHeight w:val="300"/>
        </w:trPr>
        <w:tc>
          <w:tcPr>
            <w:tcW w:w="939" w:type="dxa"/>
            <w:shd w:val="clear" w:color="auto" w:fill="auto"/>
          </w:tcPr>
          <w:p w14:paraId="4DB55FC0" w14:textId="77777777" w:rsidR="005975B8" w:rsidRPr="00781608" w:rsidRDefault="005975B8" w:rsidP="00D944B7">
            <w:pPr>
              <w:spacing w:line="276" w:lineRule="auto"/>
              <w:jc w:val="center"/>
              <w:rPr>
                <w:rFonts w:asciiTheme="minorHAnsi" w:hAnsiTheme="minorHAnsi" w:cstheme="minorHAnsi"/>
              </w:rPr>
            </w:pPr>
            <w:r w:rsidRPr="00781608">
              <w:rPr>
                <w:rFonts w:asciiTheme="minorHAnsi" w:hAnsiTheme="minorHAnsi" w:cstheme="minorHAnsi"/>
              </w:rPr>
              <w:t>6</w:t>
            </w:r>
          </w:p>
        </w:tc>
        <w:tc>
          <w:tcPr>
            <w:tcW w:w="2079" w:type="dxa"/>
            <w:shd w:val="clear" w:color="auto" w:fill="auto"/>
            <w:noWrap/>
          </w:tcPr>
          <w:p w14:paraId="42271AA6" w14:textId="77777777" w:rsidR="005975B8" w:rsidRPr="00781608" w:rsidRDefault="005975B8" w:rsidP="00D944B7">
            <w:pPr>
              <w:spacing w:line="276" w:lineRule="auto"/>
              <w:rPr>
                <w:rFonts w:asciiTheme="minorHAnsi" w:eastAsia="Times New Roman" w:hAnsiTheme="minorHAnsi" w:cstheme="minorHAnsi"/>
              </w:rPr>
            </w:pPr>
            <w:r w:rsidRPr="00781608">
              <w:rPr>
                <w:rFonts w:asciiTheme="minorHAnsi" w:hAnsiTheme="minorHAnsi" w:cstheme="minorHAnsi"/>
              </w:rPr>
              <w:t>NTPC-Kawas</w:t>
            </w:r>
          </w:p>
        </w:tc>
        <w:tc>
          <w:tcPr>
            <w:tcW w:w="5528" w:type="dxa"/>
            <w:shd w:val="clear" w:color="auto" w:fill="auto"/>
            <w:noWrap/>
          </w:tcPr>
          <w:p w14:paraId="71361A3C" w14:textId="77777777" w:rsidR="005975B8" w:rsidRPr="00781608" w:rsidRDefault="005975B8" w:rsidP="00D944B7">
            <w:pPr>
              <w:spacing w:line="276" w:lineRule="auto"/>
              <w:jc w:val="both"/>
              <w:rPr>
                <w:rFonts w:asciiTheme="minorHAnsi" w:eastAsia="Times New Roman" w:hAnsiTheme="minorHAnsi" w:cstheme="minorHAnsi"/>
              </w:rPr>
            </w:pPr>
            <w:r w:rsidRPr="00781608">
              <w:rPr>
                <w:rFonts w:asciiTheme="minorHAnsi" w:eastAsia="Times New Roman" w:hAnsiTheme="minorHAnsi" w:cstheme="minorHAnsi"/>
              </w:rPr>
              <w:t xml:space="preserve">Fixed cost for FY 2022-23 is considered on normative availability whereas fixed cost of FY 2020-21 consists actual fixed paid cost which is having </w:t>
            </w:r>
            <w:proofErr w:type="gramStart"/>
            <w:r w:rsidRPr="00781608">
              <w:rPr>
                <w:rFonts w:asciiTheme="minorHAnsi" w:eastAsia="Times New Roman" w:hAnsiTheme="minorHAnsi" w:cstheme="minorHAnsi"/>
              </w:rPr>
              <w:t>other</w:t>
            </w:r>
            <w:proofErr w:type="gramEnd"/>
            <w:r w:rsidRPr="00781608">
              <w:rPr>
                <w:rFonts w:asciiTheme="minorHAnsi" w:eastAsia="Times New Roman" w:hAnsiTheme="minorHAnsi" w:cstheme="minorHAnsi"/>
              </w:rPr>
              <w:t xml:space="preserve"> component like FERV, URS etc. </w:t>
            </w:r>
          </w:p>
        </w:tc>
      </w:tr>
      <w:tr w:rsidR="005975B8" w:rsidRPr="00781608" w14:paraId="46ED9890" w14:textId="77777777" w:rsidTr="00D944B7">
        <w:trPr>
          <w:trHeight w:val="300"/>
        </w:trPr>
        <w:tc>
          <w:tcPr>
            <w:tcW w:w="939" w:type="dxa"/>
            <w:shd w:val="clear" w:color="auto" w:fill="auto"/>
          </w:tcPr>
          <w:p w14:paraId="6CD2AB21" w14:textId="77777777" w:rsidR="005975B8" w:rsidRPr="00781608" w:rsidRDefault="005975B8" w:rsidP="00D944B7">
            <w:pPr>
              <w:spacing w:line="276" w:lineRule="auto"/>
              <w:jc w:val="center"/>
              <w:rPr>
                <w:rFonts w:asciiTheme="minorHAnsi" w:hAnsiTheme="minorHAnsi" w:cstheme="minorHAnsi"/>
              </w:rPr>
            </w:pPr>
            <w:r w:rsidRPr="00781608">
              <w:rPr>
                <w:rFonts w:asciiTheme="minorHAnsi" w:hAnsiTheme="minorHAnsi" w:cstheme="minorHAnsi"/>
              </w:rPr>
              <w:t>7</w:t>
            </w:r>
          </w:p>
        </w:tc>
        <w:tc>
          <w:tcPr>
            <w:tcW w:w="2079" w:type="dxa"/>
            <w:shd w:val="clear" w:color="auto" w:fill="auto"/>
            <w:noWrap/>
          </w:tcPr>
          <w:p w14:paraId="68FBFFBB" w14:textId="77777777" w:rsidR="005975B8" w:rsidRPr="00781608" w:rsidRDefault="005975B8" w:rsidP="00D944B7">
            <w:pPr>
              <w:spacing w:line="276" w:lineRule="auto"/>
              <w:rPr>
                <w:rFonts w:asciiTheme="minorHAnsi" w:eastAsia="Times New Roman" w:hAnsiTheme="minorHAnsi" w:cstheme="minorHAnsi"/>
              </w:rPr>
            </w:pPr>
            <w:r w:rsidRPr="00781608">
              <w:rPr>
                <w:rFonts w:asciiTheme="minorHAnsi" w:hAnsiTheme="minorHAnsi" w:cstheme="minorHAnsi"/>
              </w:rPr>
              <w:t>NTPC-</w:t>
            </w:r>
            <w:proofErr w:type="spellStart"/>
            <w:r w:rsidRPr="00781608">
              <w:rPr>
                <w:rFonts w:asciiTheme="minorHAnsi" w:hAnsiTheme="minorHAnsi" w:cstheme="minorHAnsi"/>
              </w:rPr>
              <w:t>Jhanor</w:t>
            </w:r>
            <w:proofErr w:type="spellEnd"/>
          </w:p>
        </w:tc>
        <w:tc>
          <w:tcPr>
            <w:tcW w:w="5528" w:type="dxa"/>
            <w:shd w:val="clear" w:color="auto" w:fill="auto"/>
            <w:noWrap/>
          </w:tcPr>
          <w:p w14:paraId="268E94C2" w14:textId="77777777" w:rsidR="005975B8" w:rsidRPr="00781608" w:rsidRDefault="005975B8" w:rsidP="00D944B7">
            <w:pPr>
              <w:spacing w:line="276" w:lineRule="auto"/>
              <w:jc w:val="both"/>
              <w:rPr>
                <w:rFonts w:asciiTheme="minorHAnsi" w:eastAsia="Times New Roman" w:hAnsiTheme="minorHAnsi" w:cstheme="minorHAnsi"/>
              </w:rPr>
            </w:pPr>
            <w:r w:rsidRPr="00781608">
              <w:rPr>
                <w:rFonts w:asciiTheme="minorHAnsi" w:eastAsia="Times New Roman" w:hAnsiTheme="minorHAnsi" w:cstheme="minorHAnsi"/>
              </w:rPr>
              <w:t xml:space="preserve">Fixed cost for FY 2022-23 is considered on normative availability whereas fixed cost of FY 2020-21 consists actual fixed paid cost which is having </w:t>
            </w:r>
            <w:proofErr w:type="gramStart"/>
            <w:r w:rsidRPr="00781608">
              <w:rPr>
                <w:rFonts w:asciiTheme="minorHAnsi" w:eastAsia="Times New Roman" w:hAnsiTheme="minorHAnsi" w:cstheme="minorHAnsi"/>
              </w:rPr>
              <w:t>other</w:t>
            </w:r>
            <w:proofErr w:type="gramEnd"/>
            <w:r w:rsidRPr="00781608">
              <w:rPr>
                <w:rFonts w:asciiTheme="minorHAnsi" w:eastAsia="Times New Roman" w:hAnsiTheme="minorHAnsi" w:cstheme="minorHAnsi"/>
              </w:rPr>
              <w:t xml:space="preserve"> component like FERV, URS etc.</w:t>
            </w:r>
          </w:p>
        </w:tc>
      </w:tr>
      <w:tr w:rsidR="005975B8" w:rsidRPr="00781608" w14:paraId="3FC727DB" w14:textId="77777777" w:rsidTr="00D944B7">
        <w:trPr>
          <w:trHeight w:val="300"/>
        </w:trPr>
        <w:tc>
          <w:tcPr>
            <w:tcW w:w="939" w:type="dxa"/>
            <w:shd w:val="clear" w:color="auto" w:fill="auto"/>
          </w:tcPr>
          <w:p w14:paraId="2402AE19" w14:textId="77777777" w:rsidR="005975B8" w:rsidRPr="00781608" w:rsidRDefault="005975B8" w:rsidP="00D944B7">
            <w:pPr>
              <w:spacing w:line="276" w:lineRule="auto"/>
              <w:jc w:val="center"/>
              <w:rPr>
                <w:rFonts w:asciiTheme="minorHAnsi" w:hAnsiTheme="minorHAnsi" w:cstheme="minorHAnsi"/>
              </w:rPr>
            </w:pPr>
            <w:r w:rsidRPr="00781608">
              <w:rPr>
                <w:rFonts w:asciiTheme="minorHAnsi" w:hAnsiTheme="minorHAnsi" w:cstheme="minorHAnsi"/>
              </w:rPr>
              <w:t>8</w:t>
            </w:r>
          </w:p>
        </w:tc>
        <w:tc>
          <w:tcPr>
            <w:tcW w:w="2079" w:type="dxa"/>
            <w:shd w:val="clear" w:color="auto" w:fill="auto"/>
            <w:noWrap/>
          </w:tcPr>
          <w:p w14:paraId="15DDAA22" w14:textId="77777777" w:rsidR="005975B8" w:rsidRPr="00781608" w:rsidRDefault="005975B8" w:rsidP="00D944B7">
            <w:pPr>
              <w:spacing w:line="276" w:lineRule="auto"/>
              <w:rPr>
                <w:rFonts w:asciiTheme="minorHAnsi" w:eastAsia="Times New Roman" w:hAnsiTheme="minorHAnsi" w:cstheme="minorHAnsi"/>
              </w:rPr>
            </w:pPr>
            <w:r w:rsidRPr="00781608">
              <w:rPr>
                <w:rFonts w:asciiTheme="minorHAnsi" w:hAnsiTheme="minorHAnsi" w:cstheme="minorHAnsi"/>
              </w:rPr>
              <w:t>NTPC-</w:t>
            </w:r>
            <w:proofErr w:type="spellStart"/>
            <w:r w:rsidRPr="00781608">
              <w:rPr>
                <w:rFonts w:asciiTheme="minorHAnsi" w:hAnsiTheme="minorHAnsi" w:cstheme="minorHAnsi"/>
              </w:rPr>
              <w:t>Sipat</w:t>
            </w:r>
            <w:proofErr w:type="spellEnd"/>
            <w:r w:rsidRPr="00781608">
              <w:rPr>
                <w:rFonts w:asciiTheme="minorHAnsi" w:hAnsiTheme="minorHAnsi" w:cstheme="minorHAnsi"/>
              </w:rPr>
              <w:t>-I</w:t>
            </w:r>
          </w:p>
        </w:tc>
        <w:tc>
          <w:tcPr>
            <w:tcW w:w="5528" w:type="dxa"/>
            <w:shd w:val="clear" w:color="auto" w:fill="auto"/>
            <w:noWrap/>
          </w:tcPr>
          <w:p w14:paraId="73D4A4E7" w14:textId="77777777" w:rsidR="005975B8" w:rsidRPr="00781608" w:rsidRDefault="005975B8" w:rsidP="00D944B7">
            <w:pPr>
              <w:spacing w:line="276" w:lineRule="auto"/>
              <w:jc w:val="both"/>
              <w:rPr>
                <w:rFonts w:asciiTheme="minorHAnsi" w:eastAsia="Times New Roman" w:hAnsiTheme="minorHAnsi" w:cstheme="minorHAnsi"/>
              </w:rPr>
            </w:pPr>
            <w:r w:rsidRPr="00781608">
              <w:rPr>
                <w:rFonts w:asciiTheme="minorHAnsi" w:hAnsiTheme="minorHAnsi" w:cstheme="minorHAnsi"/>
              </w:rPr>
              <w:t>Higher availability is considered for FY 2022-23 as compared to FY 2020-</w:t>
            </w:r>
            <w:proofErr w:type="gramStart"/>
            <w:r w:rsidRPr="00781608">
              <w:rPr>
                <w:rFonts w:asciiTheme="minorHAnsi" w:hAnsiTheme="minorHAnsi" w:cstheme="minorHAnsi"/>
              </w:rPr>
              <w:t>21  and</w:t>
            </w:r>
            <w:proofErr w:type="gramEnd"/>
            <w:r w:rsidRPr="00781608">
              <w:rPr>
                <w:rFonts w:asciiTheme="minorHAnsi" w:hAnsiTheme="minorHAnsi" w:cstheme="minorHAnsi"/>
              </w:rPr>
              <w:t xml:space="preserve"> hence higher fixed cost</w:t>
            </w:r>
          </w:p>
        </w:tc>
      </w:tr>
      <w:tr w:rsidR="005975B8" w:rsidRPr="00781608" w14:paraId="0D0411F0" w14:textId="77777777" w:rsidTr="00D944B7">
        <w:trPr>
          <w:trHeight w:val="300"/>
        </w:trPr>
        <w:tc>
          <w:tcPr>
            <w:tcW w:w="939" w:type="dxa"/>
            <w:shd w:val="clear" w:color="auto" w:fill="auto"/>
          </w:tcPr>
          <w:p w14:paraId="5650D2CD" w14:textId="77777777" w:rsidR="005975B8" w:rsidRPr="00781608" w:rsidRDefault="005975B8" w:rsidP="00D944B7">
            <w:pPr>
              <w:spacing w:line="276" w:lineRule="auto"/>
              <w:jc w:val="center"/>
              <w:rPr>
                <w:rFonts w:asciiTheme="minorHAnsi" w:hAnsiTheme="minorHAnsi" w:cstheme="minorHAnsi"/>
              </w:rPr>
            </w:pPr>
            <w:r w:rsidRPr="00781608">
              <w:rPr>
                <w:rFonts w:asciiTheme="minorHAnsi" w:hAnsiTheme="minorHAnsi" w:cstheme="minorHAnsi"/>
              </w:rPr>
              <w:t>9</w:t>
            </w:r>
          </w:p>
        </w:tc>
        <w:tc>
          <w:tcPr>
            <w:tcW w:w="2079" w:type="dxa"/>
            <w:shd w:val="clear" w:color="auto" w:fill="auto"/>
            <w:noWrap/>
          </w:tcPr>
          <w:p w14:paraId="75B3DEEE" w14:textId="77777777" w:rsidR="005975B8" w:rsidRPr="00781608" w:rsidRDefault="005975B8" w:rsidP="00D944B7">
            <w:pPr>
              <w:spacing w:line="276" w:lineRule="auto"/>
              <w:rPr>
                <w:rFonts w:asciiTheme="minorHAnsi" w:eastAsia="Times New Roman" w:hAnsiTheme="minorHAnsi" w:cstheme="minorHAnsi"/>
              </w:rPr>
            </w:pPr>
            <w:r w:rsidRPr="00781608">
              <w:rPr>
                <w:rFonts w:asciiTheme="minorHAnsi" w:hAnsiTheme="minorHAnsi" w:cstheme="minorHAnsi"/>
              </w:rPr>
              <w:t>NTPC-</w:t>
            </w:r>
            <w:proofErr w:type="spellStart"/>
            <w:r w:rsidRPr="00781608">
              <w:rPr>
                <w:rFonts w:asciiTheme="minorHAnsi" w:hAnsiTheme="minorHAnsi" w:cstheme="minorHAnsi"/>
              </w:rPr>
              <w:t>Sipat</w:t>
            </w:r>
            <w:proofErr w:type="spellEnd"/>
            <w:r w:rsidRPr="00781608">
              <w:rPr>
                <w:rFonts w:asciiTheme="minorHAnsi" w:hAnsiTheme="minorHAnsi" w:cstheme="minorHAnsi"/>
              </w:rPr>
              <w:t xml:space="preserve"> - II</w:t>
            </w:r>
          </w:p>
        </w:tc>
        <w:tc>
          <w:tcPr>
            <w:tcW w:w="5528" w:type="dxa"/>
            <w:shd w:val="clear" w:color="auto" w:fill="auto"/>
            <w:noWrap/>
          </w:tcPr>
          <w:p w14:paraId="107C5636" w14:textId="77777777" w:rsidR="005975B8" w:rsidRPr="00781608" w:rsidRDefault="005975B8" w:rsidP="00D944B7">
            <w:pPr>
              <w:spacing w:line="276" w:lineRule="auto"/>
              <w:jc w:val="both"/>
              <w:rPr>
                <w:rFonts w:asciiTheme="minorHAnsi" w:eastAsia="Times New Roman" w:hAnsiTheme="minorHAnsi" w:cstheme="minorHAnsi"/>
              </w:rPr>
            </w:pPr>
            <w:r w:rsidRPr="00781608">
              <w:rPr>
                <w:rFonts w:asciiTheme="minorHAnsi" w:hAnsiTheme="minorHAnsi" w:cstheme="minorHAnsi"/>
              </w:rPr>
              <w:t>Higher availability is considered for FY 2022-23 as compared to FY 2020-21 and hence higher fixed cost</w:t>
            </w:r>
          </w:p>
        </w:tc>
      </w:tr>
      <w:tr w:rsidR="005975B8" w:rsidRPr="00781608" w14:paraId="5D6E88B4" w14:textId="77777777" w:rsidTr="00D944B7">
        <w:trPr>
          <w:trHeight w:val="300"/>
        </w:trPr>
        <w:tc>
          <w:tcPr>
            <w:tcW w:w="939" w:type="dxa"/>
            <w:shd w:val="clear" w:color="auto" w:fill="auto"/>
          </w:tcPr>
          <w:p w14:paraId="7030E021" w14:textId="77777777" w:rsidR="005975B8" w:rsidRPr="00781608" w:rsidRDefault="005975B8" w:rsidP="00D944B7">
            <w:pPr>
              <w:spacing w:line="276" w:lineRule="auto"/>
              <w:jc w:val="center"/>
              <w:rPr>
                <w:rFonts w:asciiTheme="minorHAnsi" w:hAnsiTheme="minorHAnsi" w:cstheme="minorHAnsi"/>
              </w:rPr>
            </w:pPr>
            <w:r w:rsidRPr="00781608">
              <w:rPr>
                <w:rFonts w:asciiTheme="minorHAnsi" w:hAnsiTheme="minorHAnsi" w:cstheme="minorHAnsi"/>
              </w:rPr>
              <w:t>10</w:t>
            </w:r>
          </w:p>
        </w:tc>
        <w:tc>
          <w:tcPr>
            <w:tcW w:w="2079" w:type="dxa"/>
            <w:shd w:val="clear" w:color="auto" w:fill="auto"/>
            <w:noWrap/>
          </w:tcPr>
          <w:p w14:paraId="1E1337D1" w14:textId="77777777" w:rsidR="005975B8" w:rsidRPr="00781608" w:rsidRDefault="005975B8" w:rsidP="00D944B7">
            <w:pPr>
              <w:spacing w:line="276" w:lineRule="auto"/>
              <w:rPr>
                <w:rFonts w:asciiTheme="minorHAnsi" w:eastAsia="Times New Roman" w:hAnsiTheme="minorHAnsi" w:cstheme="minorHAnsi"/>
              </w:rPr>
            </w:pPr>
            <w:r w:rsidRPr="00781608">
              <w:rPr>
                <w:rFonts w:asciiTheme="minorHAnsi" w:hAnsiTheme="minorHAnsi" w:cstheme="minorHAnsi"/>
              </w:rPr>
              <w:t>NTPC-</w:t>
            </w:r>
            <w:proofErr w:type="spellStart"/>
            <w:r w:rsidRPr="00781608">
              <w:rPr>
                <w:rFonts w:asciiTheme="minorHAnsi" w:hAnsiTheme="minorHAnsi" w:cstheme="minorHAnsi"/>
              </w:rPr>
              <w:t>Kahlagaon</w:t>
            </w:r>
            <w:proofErr w:type="spellEnd"/>
            <w:r w:rsidRPr="00781608">
              <w:rPr>
                <w:rFonts w:asciiTheme="minorHAnsi" w:hAnsiTheme="minorHAnsi" w:cstheme="minorHAnsi"/>
              </w:rPr>
              <w:t xml:space="preserve"> I</w:t>
            </w:r>
          </w:p>
        </w:tc>
        <w:tc>
          <w:tcPr>
            <w:tcW w:w="5528" w:type="dxa"/>
            <w:shd w:val="clear" w:color="auto" w:fill="auto"/>
            <w:noWrap/>
          </w:tcPr>
          <w:p w14:paraId="62512112" w14:textId="77777777" w:rsidR="005975B8" w:rsidRPr="00781608" w:rsidRDefault="005975B8" w:rsidP="00D944B7">
            <w:pPr>
              <w:spacing w:line="276" w:lineRule="auto"/>
              <w:jc w:val="both"/>
              <w:rPr>
                <w:rFonts w:asciiTheme="minorHAnsi" w:eastAsia="Times New Roman" w:hAnsiTheme="minorHAnsi" w:cstheme="minorHAnsi"/>
              </w:rPr>
            </w:pPr>
            <w:r w:rsidRPr="00781608">
              <w:rPr>
                <w:rFonts w:asciiTheme="minorHAnsi" w:hAnsiTheme="minorHAnsi" w:cstheme="minorHAnsi"/>
              </w:rPr>
              <w:t>Higher availability is considered for FY 2022-23 as compared to FY 2020-21 and hence higher fixed cost</w:t>
            </w:r>
          </w:p>
        </w:tc>
      </w:tr>
      <w:tr w:rsidR="005975B8" w:rsidRPr="00781608" w14:paraId="19D0EB92" w14:textId="77777777" w:rsidTr="00D944B7">
        <w:trPr>
          <w:trHeight w:val="300"/>
        </w:trPr>
        <w:tc>
          <w:tcPr>
            <w:tcW w:w="939" w:type="dxa"/>
            <w:shd w:val="clear" w:color="auto" w:fill="auto"/>
          </w:tcPr>
          <w:p w14:paraId="747F4112" w14:textId="77777777" w:rsidR="005975B8" w:rsidRPr="00781608" w:rsidRDefault="005975B8" w:rsidP="00D944B7">
            <w:pPr>
              <w:spacing w:line="276" w:lineRule="auto"/>
              <w:jc w:val="center"/>
              <w:rPr>
                <w:rFonts w:asciiTheme="minorHAnsi" w:hAnsiTheme="minorHAnsi" w:cstheme="minorHAnsi"/>
              </w:rPr>
            </w:pPr>
            <w:r w:rsidRPr="00781608">
              <w:rPr>
                <w:rFonts w:asciiTheme="minorHAnsi" w:hAnsiTheme="minorHAnsi" w:cstheme="minorHAnsi"/>
              </w:rPr>
              <w:t>11</w:t>
            </w:r>
          </w:p>
        </w:tc>
        <w:tc>
          <w:tcPr>
            <w:tcW w:w="2079" w:type="dxa"/>
            <w:shd w:val="clear" w:color="auto" w:fill="auto"/>
            <w:noWrap/>
          </w:tcPr>
          <w:p w14:paraId="50F04E04" w14:textId="77777777" w:rsidR="005975B8" w:rsidRPr="00781608" w:rsidRDefault="005975B8" w:rsidP="00D944B7">
            <w:pPr>
              <w:spacing w:line="276" w:lineRule="auto"/>
              <w:rPr>
                <w:rFonts w:asciiTheme="minorHAnsi" w:eastAsia="Times New Roman" w:hAnsiTheme="minorHAnsi" w:cstheme="minorHAnsi"/>
              </w:rPr>
            </w:pPr>
            <w:r w:rsidRPr="00781608">
              <w:rPr>
                <w:rFonts w:asciiTheme="minorHAnsi" w:hAnsiTheme="minorHAnsi" w:cstheme="minorHAnsi"/>
              </w:rPr>
              <w:t>NTPC-</w:t>
            </w:r>
            <w:proofErr w:type="spellStart"/>
            <w:r w:rsidRPr="00781608">
              <w:rPr>
                <w:rFonts w:asciiTheme="minorHAnsi" w:hAnsiTheme="minorHAnsi" w:cstheme="minorHAnsi"/>
              </w:rPr>
              <w:t>Vindhyachal</w:t>
            </w:r>
            <w:proofErr w:type="spellEnd"/>
            <w:r w:rsidRPr="00781608">
              <w:rPr>
                <w:rFonts w:asciiTheme="minorHAnsi" w:hAnsiTheme="minorHAnsi" w:cstheme="minorHAnsi"/>
              </w:rPr>
              <w:t xml:space="preserve"> - IV</w:t>
            </w:r>
          </w:p>
        </w:tc>
        <w:tc>
          <w:tcPr>
            <w:tcW w:w="5528" w:type="dxa"/>
            <w:shd w:val="clear" w:color="auto" w:fill="auto"/>
            <w:noWrap/>
          </w:tcPr>
          <w:p w14:paraId="2DEDE0AC" w14:textId="77777777" w:rsidR="005975B8" w:rsidRPr="00781608" w:rsidRDefault="005975B8" w:rsidP="00D944B7">
            <w:pPr>
              <w:spacing w:line="276" w:lineRule="auto"/>
              <w:jc w:val="both"/>
              <w:rPr>
                <w:rFonts w:asciiTheme="minorHAnsi" w:eastAsia="Times New Roman" w:hAnsiTheme="minorHAnsi" w:cstheme="minorHAnsi"/>
              </w:rPr>
            </w:pPr>
            <w:r w:rsidRPr="00781608">
              <w:rPr>
                <w:rFonts w:asciiTheme="minorHAnsi" w:hAnsiTheme="minorHAnsi" w:cstheme="minorHAnsi"/>
              </w:rPr>
              <w:t>Higher availability is considered for FY 2022-23 as compared to FY 2020-21 and hence higher fixed cost</w:t>
            </w:r>
          </w:p>
        </w:tc>
      </w:tr>
      <w:tr w:rsidR="005975B8" w:rsidRPr="00781608" w14:paraId="1AEDEE53" w14:textId="77777777" w:rsidTr="00D944B7">
        <w:trPr>
          <w:trHeight w:val="300"/>
        </w:trPr>
        <w:tc>
          <w:tcPr>
            <w:tcW w:w="939" w:type="dxa"/>
            <w:shd w:val="clear" w:color="auto" w:fill="auto"/>
          </w:tcPr>
          <w:p w14:paraId="7EEA05A5" w14:textId="77777777" w:rsidR="005975B8" w:rsidRPr="00781608" w:rsidRDefault="005975B8" w:rsidP="00D944B7">
            <w:pPr>
              <w:spacing w:line="276" w:lineRule="auto"/>
              <w:jc w:val="center"/>
              <w:rPr>
                <w:rFonts w:asciiTheme="minorHAnsi" w:hAnsiTheme="minorHAnsi" w:cstheme="minorHAnsi"/>
              </w:rPr>
            </w:pPr>
            <w:r w:rsidRPr="00781608">
              <w:rPr>
                <w:rFonts w:asciiTheme="minorHAnsi" w:hAnsiTheme="minorHAnsi" w:cstheme="minorHAnsi"/>
              </w:rPr>
              <w:t>12</w:t>
            </w:r>
          </w:p>
        </w:tc>
        <w:tc>
          <w:tcPr>
            <w:tcW w:w="2079" w:type="dxa"/>
            <w:shd w:val="clear" w:color="auto" w:fill="auto"/>
            <w:noWrap/>
          </w:tcPr>
          <w:p w14:paraId="72E78153" w14:textId="77777777" w:rsidR="005975B8" w:rsidRPr="00781608" w:rsidRDefault="005975B8" w:rsidP="00D944B7">
            <w:pPr>
              <w:spacing w:line="276" w:lineRule="auto"/>
              <w:rPr>
                <w:rFonts w:asciiTheme="minorHAnsi" w:eastAsia="Times New Roman" w:hAnsiTheme="minorHAnsi" w:cstheme="minorHAnsi"/>
              </w:rPr>
            </w:pPr>
            <w:r w:rsidRPr="00781608">
              <w:rPr>
                <w:rFonts w:asciiTheme="minorHAnsi" w:hAnsiTheme="minorHAnsi" w:cstheme="minorHAnsi"/>
              </w:rPr>
              <w:t>NTPC-</w:t>
            </w:r>
            <w:proofErr w:type="spellStart"/>
            <w:r w:rsidRPr="00781608">
              <w:rPr>
                <w:rFonts w:asciiTheme="minorHAnsi" w:hAnsiTheme="minorHAnsi" w:cstheme="minorHAnsi"/>
              </w:rPr>
              <w:t>Mauda</w:t>
            </w:r>
            <w:proofErr w:type="spellEnd"/>
          </w:p>
        </w:tc>
        <w:tc>
          <w:tcPr>
            <w:tcW w:w="5528" w:type="dxa"/>
            <w:shd w:val="clear" w:color="auto" w:fill="auto"/>
            <w:noWrap/>
          </w:tcPr>
          <w:p w14:paraId="36594D0E" w14:textId="77777777" w:rsidR="005975B8" w:rsidRPr="00781608" w:rsidRDefault="005975B8" w:rsidP="00D944B7">
            <w:pPr>
              <w:spacing w:line="276" w:lineRule="auto"/>
              <w:jc w:val="both"/>
              <w:rPr>
                <w:rFonts w:asciiTheme="minorHAnsi" w:eastAsia="Times New Roman" w:hAnsiTheme="minorHAnsi" w:cstheme="minorHAnsi"/>
              </w:rPr>
            </w:pPr>
            <w:r w:rsidRPr="00781608">
              <w:rPr>
                <w:rFonts w:asciiTheme="minorHAnsi" w:hAnsiTheme="minorHAnsi" w:cstheme="minorHAnsi"/>
              </w:rPr>
              <w:t>Higher availability is considered for FY 2022-23 as compared to FY 2020-21 and hence higher fixed cost</w:t>
            </w:r>
          </w:p>
        </w:tc>
      </w:tr>
      <w:tr w:rsidR="005975B8" w:rsidRPr="00781608" w14:paraId="56B931FE" w14:textId="77777777" w:rsidTr="00D944B7">
        <w:trPr>
          <w:trHeight w:val="300"/>
        </w:trPr>
        <w:tc>
          <w:tcPr>
            <w:tcW w:w="939" w:type="dxa"/>
            <w:shd w:val="clear" w:color="auto" w:fill="auto"/>
          </w:tcPr>
          <w:p w14:paraId="34DCB0A2" w14:textId="77777777" w:rsidR="005975B8" w:rsidRPr="00781608" w:rsidRDefault="005975B8" w:rsidP="00D944B7">
            <w:pPr>
              <w:spacing w:line="276" w:lineRule="auto"/>
              <w:jc w:val="center"/>
              <w:rPr>
                <w:rFonts w:asciiTheme="minorHAnsi" w:hAnsiTheme="minorHAnsi" w:cstheme="minorHAnsi"/>
              </w:rPr>
            </w:pPr>
            <w:r w:rsidRPr="00781608">
              <w:rPr>
                <w:rFonts w:asciiTheme="minorHAnsi" w:hAnsiTheme="minorHAnsi" w:cstheme="minorHAnsi"/>
              </w:rPr>
              <w:t>13</w:t>
            </w:r>
          </w:p>
        </w:tc>
        <w:tc>
          <w:tcPr>
            <w:tcW w:w="2079" w:type="dxa"/>
            <w:shd w:val="clear" w:color="auto" w:fill="auto"/>
            <w:noWrap/>
          </w:tcPr>
          <w:p w14:paraId="1170FF76" w14:textId="77777777" w:rsidR="005975B8" w:rsidRPr="00781608" w:rsidRDefault="005975B8" w:rsidP="00D944B7">
            <w:pPr>
              <w:spacing w:line="276" w:lineRule="auto"/>
              <w:rPr>
                <w:rFonts w:asciiTheme="minorHAnsi" w:eastAsia="Times New Roman" w:hAnsiTheme="minorHAnsi" w:cstheme="minorHAnsi"/>
              </w:rPr>
            </w:pPr>
            <w:r w:rsidRPr="00781608">
              <w:rPr>
                <w:rFonts w:asciiTheme="minorHAnsi" w:hAnsiTheme="minorHAnsi" w:cstheme="minorHAnsi"/>
              </w:rPr>
              <w:t>NTPC-</w:t>
            </w:r>
            <w:proofErr w:type="spellStart"/>
            <w:r w:rsidRPr="00781608">
              <w:rPr>
                <w:rFonts w:asciiTheme="minorHAnsi" w:hAnsiTheme="minorHAnsi" w:cstheme="minorHAnsi"/>
              </w:rPr>
              <w:t>Vindhyachal</w:t>
            </w:r>
            <w:proofErr w:type="spellEnd"/>
            <w:r w:rsidRPr="00781608">
              <w:rPr>
                <w:rFonts w:asciiTheme="minorHAnsi" w:hAnsiTheme="minorHAnsi" w:cstheme="minorHAnsi"/>
              </w:rPr>
              <w:t xml:space="preserve"> - V</w:t>
            </w:r>
          </w:p>
        </w:tc>
        <w:tc>
          <w:tcPr>
            <w:tcW w:w="5528" w:type="dxa"/>
            <w:shd w:val="clear" w:color="auto" w:fill="auto"/>
            <w:noWrap/>
          </w:tcPr>
          <w:p w14:paraId="370505B8" w14:textId="77777777" w:rsidR="005975B8" w:rsidRPr="00781608" w:rsidRDefault="005975B8" w:rsidP="00D944B7">
            <w:pPr>
              <w:spacing w:line="276" w:lineRule="auto"/>
              <w:jc w:val="both"/>
              <w:rPr>
                <w:rFonts w:asciiTheme="minorHAnsi" w:eastAsia="Times New Roman" w:hAnsiTheme="minorHAnsi" w:cstheme="minorHAnsi"/>
              </w:rPr>
            </w:pPr>
            <w:r w:rsidRPr="00781608">
              <w:rPr>
                <w:rFonts w:asciiTheme="minorHAnsi" w:hAnsiTheme="minorHAnsi" w:cstheme="minorHAnsi"/>
              </w:rPr>
              <w:t>Higher availability is considered for FY 2022-23 as compared to FY 2020-21 and hence higher fixed cost</w:t>
            </w:r>
          </w:p>
        </w:tc>
      </w:tr>
      <w:tr w:rsidR="005975B8" w:rsidRPr="00781608" w14:paraId="60BDD601" w14:textId="77777777" w:rsidTr="00D944B7">
        <w:trPr>
          <w:trHeight w:val="300"/>
        </w:trPr>
        <w:tc>
          <w:tcPr>
            <w:tcW w:w="939" w:type="dxa"/>
            <w:shd w:val="clear" w:color="auto" w:fill="auto"/>
          </w:tcPr>
          <w:p w14:paraId="19BFC86C" w14:textId="77777777" w:rsidR="005975B8" w:rsidRPr="00781608" w:rsidRDefault="005975B8" w:rsidP="00D944B7">
            <w:pPr>
              <w:spacing w:line="276" w:lineRule="auto"/>
              <w:jc w:val="center"/>
              <w:rPr>
                <w:rFonts w:asciiTheme="minorHAnsi" w:hAnsiTheme="minorHAnsi" w:cstheme="minorHAnsi"/>
              </w:rPr>
            </w:pPr>
            <w:r w:rsidRPr="00781608">
              <w:rPr>
                <w:rFonts w:asciiTheme="minorHAnsi" w:hAnsiTheme="minorHAnsi" w:cstheme="minorHAnsi"/>
              </w:rPr>
              <w:t>14</w:t>
            </w:r>
          </w:p>
        </w:tc>
        <w:tc>
          <w:tcPr>
            <w:tcW w:w="2079" w:type="dxa"/>
            <w:shd w:val="clear" w:color="auto" w:fill="auto"/>
            <w:noWrap/>
          </w:tcPr>
          <w:p w14:paraId="6D78A755" w14:textId="77777777" w:rsidR="005975B8" w:rsidRPr="00781608" w:rsidRDefault="005975B8" w:rsidP="00D944B7">
            <w:pPr>
              <w:spacing w:line="276" w:lineRule="auto"/>
              <w:rPr>
                <w:rFonts w:asciiTheme="minorHAnsi" w:eastAsia="Times New Roman" w:hAnsiTheme="minorHAnsi" w:cstheme="minorHAnsi"/>
              </w:rPr>
            </w:pPr>
            <w:r w:rsidRPr="00781608">
              <w:rPr>
                <w:rFonts w:asciiTheme="minorHAnsi" w:hAnsiTheme="minorHAnsi" w:cstheme="minorHAnsi"/>
              </w:rPr>
              <w:t>NTPC-</w:t>
            </w:r>
            <w:proofErr w:type="spellStart"/>
            <w:r w:rsidRPr="00781608">
              <w:rPr>
                <w:rFonts w:asciiTheme="minorHAnsi" w:hAnsiTheme="minorHAnsi" w:cstheme="minorHAnsi"/>
              </w:rPr>
              <w:t>Mauda</w:t>
            </w:r>
            <w:proofErr w:type="spellEnd"/>
            <w:r w:rsidRPr="00781608">
              <w:rPr>
                <w:rFonts w:asciiTheme="minorHAnsi" w:hAnsiTheme="minorHAnsi" w:cstheme="minorHAnsi"/>
              </w:rPr>
              <w:t xml:space="preserve"> II</w:t>
            </w:r>
          </w:p>
        </w:tc>
        <w:tc>
          <w:tcPr>
            <w:tcW w:w="5528" w:type="dxa"/>
            <w:shd w:val="clear" w:color="auto" w:fill="auto"/>
            <w:noWrap/>
          </w:tcPr>
          <w:p w14:paraId="48B84863" w14:textId="77777777" w:rsidR="005975B8" w:rsidRPr="00781608" w:rsidRDefault="005975B8" w:rsidP="00D944B7">
            <w:pPr>
              <w:spacing w:line="276" w:lineRule="auto"/>
              <w:jc w:val="both"/>
              <w:rPr>
                <w:rFonts w:asciiTheme="minorHAnsi" w:eastAsia="Times New Roman" w:hAnsiTheme="minorHAnsi" w:cstheme="minorHAnsi"/>
              </w:rPr>
            </w:pPr>
            <w:r w:rsidRPr="00781608">
              <w:rPr>
                <w:rFonts w:asciiTheme="minorHAnsi" w:hAnsiTheme="minorHAnsi" w:cstheme="minorHAnsi"/>
              </w:rPr>
              <w:t>Higher availability is considered for FY 2022-23 as compared to FY 2020-21 and hence higher fixed cost</w:t>
            </w:r>
          </w:p>
        </w:tc>
      </w:tr>
      <w:tr w:rsidR="005975B8" w:rsidRPr="00781608" w14:paraId="0ED40EE5" w14:textId="77777777" w:rsidTr="00D944B7">
        <w:trPr>
          <w:trHeight w:val="300"/>
        </w:trPr>
        <w:tc>
          <w:tcPr>
            <w:tcW w:w="939" w:type="dxa"/>
            <w:shd w:val="clear" w:color="auto" w:fill="auto"/>
          </w:tcPr>
          <w:p w14:paraId="6DC7CE9C" w14:textId="77777777" w:rsidR="005975B8" w:rsidRPr="00781608" w:rsidRDefault="005975B8" w:rsidP="00D944B7">
            <w:pPr>
              <w:spacing w:line="276" w:lineRule="auto"/>
              <w:jc w:val="center"/>
              <w:rPr>
                <w:rFonts w:asciiTheme="minorHAnsi" w:hAnsiTheme="minorHAnsi" w:cstheme="minorHAnsi"/>
              </w:rPr>
            </w:pPr>
            <w:r w:rsidRPr="00781608">
              <w:rPr>
                <w:rFonts w:asciiTheme="minorHAnsi" w:hAnsiTheme="minorHAnsi" w:cstheme="minorHAnsi"/>
              </w:rPr>
              <w:t>15</w:t>
            </w:r>
          </w:p>
        </w:tc>
        <w:tc>
          <w:tcPr>
            <w:tcW w:w="2079" w:type="dxa"/>
            <w:shd w:val="clear" w:color="auto" w:fill="auto"/>
            <w:noWrap/>
          </w:tcPr>
          <w:p w14:paraId="254E263E" w14:textId="77777777" w:rsidR="005975B8" w:rsidRPr="00781608" w:rsidRDefault="005975B8" w:rsidP="00D944B7">
            <w:pPr>
              <w:spacing w:line="276" w:lineRule="auto"/>
              <w:rPr>
                <w:rFonts w:asciiTheme="minorHAnsi" w:eastAsia="Times New Roman" w:hAnsiTheme="minorHAnsi" w:cstheme="minorHAnsi"/>
              </w:rPr>
            </w:pPr>
            <w:r w:rsidRPr="00781608">
              <w:rPr>
                <w:rFonts w:asciiTheme="minorHAnsi" w:hAnsiTheme="minorHAnsi" w:cstheme="minorHAnsi"/>
              </w:rPr>
              <w:t>NTPC-</w:t>
            </w:r>
            <w:proofErr w:type="spellStart"/>
            <w:r w:rsidRPr="00781608">
              <w:rPr>
                <w:rFonts w:asciiTheme="minorHAnsi" w:hAnsiTheme="minorHAnsi" w:cstheme="minorHAnsi"/>
              </w:rPr>
              <w:t>Gadarwara</w:t>
            </w:r>
            <w:proofErr w:type="spellEnd"/>
          </w:p>
        </w:tc>
        <w:tc>
          <w:tcPr>
            <w:tcW w:w="5528" w:type="dxa"/>
            <w:shd w:val="clear" w:color="auto" w:fill="auto"/>
            <w:noWrap/>
          </w:tcPr>
          <w:p w14:paraId="421DDDD5" w14:textId="77777777" w:rsidR="005975B8" w:rsidRPr="00781608" w:rsidRDefault="005975B8" w:rsidP="00D944B7">
            <w:pPr>
              <w:spacing w:line="276" w:lineRule="auto"/>
              <w:jc w:val="both"/>
              <w:rPr>
                <w:rFonts w:asciiTheme="minorHAnsi" w:eastAsia="Times New Roman" w:hAnsiTheme="minorHAnsi" w:cstheme="minorHAnsi"/>
              </w:rPr>
            </w:pPr>
            <w:r w:rsidRPr="00781608">
              <w:rPr>
                <w:rFonts w:asciiTheme="minorHAnsi" w:hAnsiTheme="minorHAnsi" w:cstheme="minorHAnsi"/>
              </w:rPr>
              <w:t>Higher availability is considered for FY 2022-23 as compared to FY 2020-21 and hence higher fixed cost</w:t>
            </w:r>
          </w:p>
        </w:tc>
      </w:tr>
      <w:tr w:rsidR="005975B8" w:rsidRPr="00781608" w14:paraId="6BD9C47A" w14:textId="77777777" w:rsidTr="00D944B7">
        <w:trPr>
          <w:trHeight w:val="300"/>
        </w:trPr>
        <w:tc>
          <w:tcPr>
            <w:tcW w:w="939" w:type="dxa"/>
            <w:shd w:val="clear" w:color="auto" w:fill="auto"/>
          </w:tcPr>
          <w:p w14:paraId="784C2AD9" w14:textId="77777777" w:rsidR="005975B8" w:rsidRPr="00781608" w:rsidRDefault="005975B8" w:rsidP="00D944B7">
            <w:pPr>
              <w:spacing w:line="276" w:lineRule="auto"/>
              <w:jc w:val="center"/>
              <w:rPr>
                <w:rFonts w:asciiTheme="minorHAnsi" w:hAnsiTheme="minorHAnsi" w:cstheme="minorHAnsi"/>
              </w:rPr>
            </w:pPr>
            <w:r w:rsidRPr="00781608">
              <w:rPr>
                <w:rFonts w:asciiTheme="minorHAnsi" w:hAnsiTheme="minorHAnsi" w:cstheme="minorHAnsi"/>
              </w:rPr>
              <w:t>16</w:t>
            </w:r>
          </w:p>
        </w:tc>
        <w:tc>
          <w:tcPr>
            <w:tcW w:w="2079" w:type="dxa"/>
            <w:shd w:val="clear" w:color="auto" w:fill="auto"/>
            <w:noWrap/>
          </w:tcPr>
          <w:p w14:paraId="1D14C7DC" w14:textId="77777777" w:rsidR="005975B8" w:rsidRPr="00781608" w:rsidRDefault="005975B8" w:rsidP="00D944B7">
            <w:pPr>
              <w:spacing w:line="276" w:lineRule="auto"/>
              <w:rPr>
                <w:rFonts w:asciiTheme="minorHAnsi" w:eastAsia="Times New Roman" w:hAnsiTheme="minorHAnsi" w:cstheme="minorHAnsi"/>
              </w:rPr>
            </w:pPr>
            <w:r w:rsidRPr="00781608">
              <w:rPr>
                <w:rFonts w:asciiTheme="minorHAnsi" w:hAnsiTheme="minorHAnsi" w:cstheme="minorHAnsi"/>
              </w:rPr>
              <w:t>NTPC-LARA</w:t>
            </w:r>
          </w:p>
        </w:tc>
        <w:tc>
          <w:tcPr>
            <w:tcW w:w="5528" w:type="dxa"/>
            <w:shd w:val="clear" w:color="auto" w:fill="auto"/>
            <w:noWrap/>
          </w:tcPr>
          <w:p w14:paraId="414414AB" w14:textId="77777777" w:rsidR="005975B8" w:rsidRPr="00781608" w:rsidRDefault="005975B8" w:rsidP="00D944B7">
            <w:pPr>
              <w:spacing w:line="276" w:lineRule="auto"/>
              <w:jc w:val="both"/>
              <w:rPr>
                <w:rFonts w:asciiTheme="minorHAnsi" w:eastAsia="Times New Roman" w:hAnsiTheme="minorHAnsi" w:cstheme="minorHAnsi"/>
              </w:rPr>
            </w:pPr>
            <w:r w:rsidRPr="00781608">
              <w:rPr>
                <w:rFonts w:asciiTheme="minorHAnsi" w:hAnsiTheme="minorHAnsi" w:cstheme="minorHAnsi"/>
              </w:rPr>
              <w:t>Higher availability is considered for FY 2022-23 as compared to FY 2020-21 and hence higher fixed cost</w:t>
            </w:r>
          </w:p>
        </w:tc>
      </w:tr>
      <w:tr w:rsidR="005975B8" w:rsidRPr="00781608" w14:paraId="4135F987" w14:textId="77777777" w:rsidTr="00D944B7">
        <w:trPr>
          <w:trHeight w:val="300"/>
        </w:trPr>
        <w:tc>
          <w:tcPr>
            <w:tcW w:w="939" w:type="dxa"/>
            <w:shd w:val="clear" w:color="auto" w:fill="auto"/>
          </w:tcPr>
          <w:p w14:paraId="1C536CCA" w14:textId="77777777" w:rsidR="005975B8" w:rsidRPr="00781608" w:rsidRDefault="005975B8" w:rsidP="00D944B7">
            <w:pPr>
              <w:spacing w:line="276" w:lineRule="auto"/>
              <w:jc w:val="center"/>
              <w:rPr>
                <w:rFonts w:asciiTheme="minorHAnsi" w:hAnsiTheme="minorHAnsi" w:cstheme="minorHAnsi"/>
              </w:rPr>
            </w:pPr>
            <w:r w:rsidRPr="00781608">
              <w:rPr>
                <w:rFonts w:asciiTheme="minorHAnsi" w:hAnsiTheme="minorHAnsi" w:cstheme="minorHAnsi"/>
              </w:rPr>
              <w:t>17</w:t>
            </w:r>
          </w:p>
        </w:tc>
        <w:tc>
          <w:tcPr>
            <w:tcW w:w="2079" w:type="dxa"/>
            <w:shd w:val="clear" w:color="auto" w:fill="auto"/>
            <w:noWrap/>
          </w:tcPr>
          <w:p w14:paraId="47814D96" w14:textId="77777777" w:rsidR="005975B8" w:rsidRPr="00781608" w:rsidRDefault="005975B8" w:rsidP="00D944B7">
            <w:pPr>
              <w:spacing w:line="276" w:lineRule="auto"/>
              <w:rPr>
                <w:rFonts w:asciiTheme="minorHAnsi" w:eastAsia="Times New Roman" w:hAnsiTheme="minorHAnsi" w:cstheme="minorHAnsi"/>
              </w:rPr>
            </w:pPr>
            <w:r w:rsidRPr="00781608">
              <w:rPr>
                <w:rFonts w:asciiTheme="minorHAnsi" w:hAnsiTheme="minorHAnsi" w:cstheme="minorHAnsi"/>
              </w:rPr>
              <w:t>NTPC-Khargone</w:t>
            </w:r>
          </w:p>
        </w:tc>
        <w:tc>
          <w:tcPr>
            <w:tcW w:w="5528" w:type="dxa"/>
            <w:shd w:val="clear" w:color="auto" w:fill="auto"/>
            <w:noWrap/>
          </w:tcPr>
          <w:p w14:paraId="468A42EB" w14:textId="77777777" w:rsidR="005975B8" w:rsidRPr="00781608" w:rsidRDefault="005975B8" w:rsidP="00D944B7">
            <w:pPr>
              <w:spacing w:line="276" w:lineRule="auto"/>
              <w:jc w:val="both"/>
              <w:rPr>
                <w:rFonts w:asciiTheme="minorHAnsi" w:eastAsia="Times New Roman" w:hAnsiTheme="minorHAnsi" w:cstheme="minorHAnsi"/>
              </w:rPr>
            </w:pPr>
            <w:r w:rsidRPr="00781608">
              <w:rPr>
                <w:rFonts w:asciiTheme="minorHAnsi" w:hAnsiTheme="minorHAnsi" w:cstheme="minorHAnsi"/>
              </w:rPr>
              <w:t>Higher availability is considered for FY 2022-23 as compared to FY 2020-21 and hence higher fixed cost</w:t>
            </w:r>
          </w:p>
        </w:tc>
      </w:tr>
      <w:tr w:rsidR="005975B8" w:rsidRPr="00781608" w14:paraId="116FA4B4" w14:textId="77777777" w:rsidTr="00D944B7">
        <w:trPr>
          <w:trHeight w:val="300"/>
        </w:trPr>
        <w:tc>
          <w:tcPr>
            <w:tcW w:w="939" w:type="dxa"/>
            <w:shd w:val="clear" w:color="auto" w:fill="auto"/>
          </w:tcPr>
          <w:p w14:paraId="4EB286CF" w14:textId="77777777" w:rsidR="005975B8" w:rsidRPr="00781608" w:rsidRDefault="005975B8" w:rsidP="00D944B7">
            <w:pPr>
              <w:spacing w:line="276" w:lineRule="auto"/>
              <w:jc w:val="center"/>
              <w:rPr>
                <w:rFonts w:asciiTheme="minorHAnsi" w:hAnsiTheme="minorHAnsi" w:cstheme="minorHAnsi"/>
              </w:rPr>
            </w:pPr>
            <w:r w:rsidRPr="00781608">
              <w:rPr>
                <w:rFonts w:asciiTheme="minorHAnsi" w:hAnsiTheme="minorHAnsi" w:cstheme="minorHAnsi"/>
              </w:rPr>
              <w:t>18</w:t>
            </w:r>
          </w:p>
        </w:tc>
        <w:tc>
          <w:tcPr>
            <w:tcW w:w="2079" w:type="dxa"/>
            <w:shd w:val="clear" w:color="auto" w:fill="auto"/>
            <w:noWrap/>
          </w:tcPr>
          <w:p w14:paraId="31EA9A14" w14:textId="77777777" w:rsidR="005975B8" w:rsidRPr="00781608" w:rsidRDefault="005975B8" w:rsidP="00D944B7">
            <w:pPr>
              <w:spacing w:line="276" w:lineRule="auto"/>
              <w:rPr>
                <w:rFonts w:asciiTheme="minorHAnsi" w:eastAsia="Times New Roman" w:hAnsiTheme="minorHAnsi" w:cstheme="minorHAnsi"/>
              </w:rPr>
            </w:pPr>
            <w:r w:rsidRPr="00781608">
              <w:rPr>
                <w:rFonts w:asciiTheme="minorHAnsi" w:hAnsiTheme="minorHAnsi" w:cstheme="minorHAnsi"/>
              </w:rPr>
              <w:t>NTPC-</w:t>
            </w:r>
            <w:proofErr w:type="spellStart"/>
            <w:r w:rsidRPr="00781608">
              <w:rPr>
                <w:rFonts w:asciiTheme="minorHAnsi" w:hAnsiTheme="minorHAnsi" w:cstheme="minorHAnsi"/>
              </w:rPr>
              <w:t>Farakka</w:t>
            </w:r>
            <w:proofErr w:type="spellEnd"/>
            <w:r w:rsidRPr="00781608">
              <w:rPr>
                <w:rFonts w:asciiTheme="minorHAnsi" w:hAnsiTheme="minorHAnsi" w:cstheme="minorHAnsi"/>
              </w:rPr>
              <w:t xml:space="preserve"> - 3</w:t>
            </w:r>
          </w:p>
        </w:tc>
        <w:tc>
          <w:tcPr>
            <w:tcW w:w="5528" w:type="dxa"/>
            <w:shd w:val="clear" w:color="auto" w:fill="auto"/>
            <w:noWrap/>
          </w:tcPr>
          <w:p w14:paraId="1025B3CE" w14:textId="77777777" w:rsidR="005975B8" w:rsidRPr="00781608" w:rsidRDefault="005975B8" w:rsidP="00D944B7">
            <w:pPr>
              <w:spacing w:line="276" w:lineRule="auto"/>
              <w:jc w:val="both"/>
              <w:rPr>
                <w:rFonts w:asciiTheme="minorHAnsi" w:eastAsia="Times New Roman" w:hAnsiTheme="minorHAnsi" w:cstheme="minorHAnsi"/>
              </w:rPr>
            </w:pPr>
            <w:r w:rsidRPr="00781608">
              <w:rPr>
                <w:rFonts w:asciiTheme="minorHAnsi" w:hAnsiTheme="minorHAnsi" w:cstheme="minorHAnsi"/>
              </w:rPr>
              <w:t>Higher availability is considered for FY 2022-23 as compared to FY 2020-21 and hence higher fixed cost</w:t>
            </w:r>
          </w:p>
        </w:tc>
      </w:tr>
      <w:tr w:rsidR="005975B8" w:rsidRPr="00781608" w14:paraId="049FA01B" w14:textId="77777777" w:rsidTr="00D944B7">
        <w:trPr>
          <w:trHeight w:val="300"/>
        </w:trPr>
        <w:tc>
          <w:tcPr>
            <w:tcW w:w="939" w:type="dxa"/>
            <w:shd w:val="clear" w:color="auto" w:fill="auto"/>
          </w:tcPr>
          <w:p w14:paraId="030E5015" w14:textId="77777777" w:rsidR="005975B8" w:rsidRPr="00781608" w:rsidRDefault="005975B8" w:rsidP="00D944B7">
            <w:pPr>
              <w:spacing w:line="276" w:lineRule="auto"/>
              <w:jc w:val="center"/>
              <w:rPr>
                <w:rFonts w:asciiTheme="minorHAnsi" w:hAnsiTheme="minorHAnsi" w:cstheme="minorHAnsi"/>
              </w:rPr>
            </w:pPr>
            <w:r w:rsidRPr="00781608">
              <w:rPr>
                <w:rFonts w:asciiTheme="minorHAnsi" w:hAnsiTheme="minorHAnsi" w:cstheme="minorHAnsi"/>
              </w:rPr>
              <w:t>19</w:t>
            </w:r>
          </w:p>
        </w:tc>
        <w:tc>
          <w:tcPr>
            <w:tcW w:w="2079" w:type="dxa"/>
            <w:shd w:val="clear" w:color="auto" w:fill="auto"/>
            <w:noWrap/>
          </w:tcPr>
          <w:p w14:paraId="5722DC11" w14:textId="77777777" w:rsidR="005975B8" w:rsidRPr="00781608" w:rsidRDefault="005975B8" w:rsidP="00D944B7">
            <w:pPr>
              <w:spacing w:line="276" w:lineRule="auto"/>
              <w:rPr>
                <w:rFonts w:asciiTheme="minorHAnsi" w:eastAsia="Times New Roman" w:hAnsiTheme="minorHAnsi" w:cstheme="minorHAnsi"/>
              </w:rPr>
            </w:pPr>
            <w:r w:rsidRPr="00781608">
              <w:rPr>
                <w:rFonts w:asciiTheme="minorHAnsi" w:hAnsiTheme="minorHAnsi" w:cstheme="minorHAnsi"/>
              </w:rPr>
              <w:t>NTPC-</w:t>
            </w:r>
            <w:proofErr w:type="spellStart"/>
            <w:r w:rsidRPr="00781608">
              <w:rPr>
                <w:rFonts w:asciiTheme="minorHAnsi" w:hAnsiTheme="minorHAnsi" w:cstheme="minorHAnsi"/>
              </w:rPr>
              <w:t>Kahalgaon</w:t>
            </w:r>
            <w:proofErr w:type="spellEnd"/>
            <w:r w:rsidRPr="00781608">
              <w:rPr>
                <w:rFonts w:asciiTheme="minorHAnsi" w:hAnsiTheme="minorHAnsi" w:cstheme="minorHAnsi"/>
              </w:rPr>
              <w:t xml:space="preserve"> II</w:t>
            </w:r>
          </w:p>
        </w:tc>
        <w:tc>
          <w:tcPr>
            <w:tcW w:w="5528" w:type="dxa"/>
            <w:shd w:val="clear" w:color="auto" w:fill="auto"/>
            <w:noWrap/>
          </w:tcPr>
          <w:p w14:paraId="6F6158FC" w14:textId="77777777" w:rsidR="005975B8" w:rsidRPr="00781608" w:rsidRDefault="005975B8" w:rsidP="00D944B7">
            <w:pPr>
              <w:spacing w:line="276" w:lineRule="auto"/>
              <w:jc w:val="both"/>
              <w:rPr>
                <w:rFonts w:asciiTheme="minorHAnsi" w:eastAsia="Times New Roman" w:hAnsiTheme="minorHAnsi" w:cstheme="minorHAnsi"/>
              </w:rPr>
            </w:pPr>
            <w:r w:rsidRPr="00781608">
              <w:rPr>
                <w:rFonts w:asciiTheme="minorHAnsi" w:hAnsiTheme="minorHAnsi" w:cstheme="minorHAnsi"/>
              </w:rPr>
              <w:t>Higher availability is considered for FY 2022-23 as compared to FY 2020-</w:t>
            </w:r>
            <w:proofErr w:type="gramStart"/>
            <w:r w:rsidRPr="00781608">
              <w:rPr>
                <w:rFonts w:asciiTheme="minorHAnsi" w:hAnsiTheme="minorHAnsi" w:cstheme="minorHAnsi"/>
              </w:rPr>
              <w:t>21  and</w:t>
            </w:r>
            <w:proofErr w:type="gramEnd"/>
            <w:r w:rsidRPr="00781608">
              <w:rPr>
                <w:rFonts w:asciiTheme="minorHAnsi" w:hAnsiTheme="minorHAnsi" w:cstheme="minorHAnsi"/>
              </w:rPr>
              <w:t xml:space="preserve"> hence higher fixed cost</w:t>
            </w:r>
          </w:p>
        </w:tc>
      </w:tr>
      <w:tr w:rsidR="005975B8" w:rsidRPr="00781608" w14:paraId="7C0EC76F" w14:textId="77777777" w:rsidTr="00D944B7">
        <w:trPr>
          <w:trHeight w:val="300"/>
        </w:trPr>
        <w:tc>
          <w:tcPr>
            <w:tcW w:w="939" w:type="dxa"/>
            <w:shd w:val="clear" w:color="auto" w:fill="auto"/>
          </w:tcPr>
          <w:p w14:paraId="7ACDD64A" w14:textId="77777777" w:rsidR="005975B8" w:rsidRPr="00781608" w:rsidRDefault="005975B8" w:rsidP="00D944B7">
            <w:pPr>
              <w:spacing w:line="276" w:lineRule="auto"/>
              <w:jc w:val="center"/>
              <w:rPr>
                <w:rFonts w:asciiTheme="minorHAnsi" w:hAnsiTheme="minorHAnsi" w:cstheme="minorHAnsi"/>
              </w:rPr>
            </w:pPr>
            <w:r w:rsidRPr="00781608">
              <w:rPr>
                <w:rFonts w:asciiTheme="minorHAnsi" w:hAnsiTheme="minorHAnsi" w:cstheme="minorHAnsi"/>
              </w:rPr>
              <w:t>20</w:t>
            </w:r>
          </w:p>
        </w:tc>
        <w:tc>
          <w:tcPr>
            <w:tcW w:w="2079" w:type="dxa"/>
            <w:shd w:val="clear" w:color="auto" w:fill="auto"/>
            <w:noWrap/>
          </w:tcPr>
          <w:p w14:paraId="45A2D4B6" w14:textId="77777777" w:rsidR="005975B8" w:rsidRPr="00781608" w:rsidRDefault="005975B8" w:rsidP="00D944B7">
            <w:pPr>
              <w:spacing w:line="276" w:lineRule="auto"/>
              <w:rPr>
                <w:rFonts w:asciiTheme="minorHAnsi" w:eastAsia="Times New Roman" w:hAnsiTheme="minorHAnsi" w:cstheme="minorHAnsi"/>
              </w:rPr>
            </w:pPr>
            <w:r w:rsidRPr="00781608">
              <w:rPr>
                <w:rFonts w:asciiTheme="minorHAnsi" w:hAnsiTheme="minorHAnsi" w:cstheme="minorHAnsi"/>
              </w:rPr>
              <w:t>NTPC-</w:t>
            </w:r>
            <w:proofErr w:type="spellStart"/>
            <w:r w:rsidRPr="00781608">
              <w:rPr>
                <w:rFonts w:asciiTheme="minorHAnsi" w:hAnsiTheme="minorHAnsi" w:cstheme="minorHAnsi"/>
              </w:rPr>
              <w:t>Farakka</w:t>
            </w:r>
            <w:proofErr w:type="spellEnd"/>
            <w:r w:rsidRPr="00781608">
              <w:rPr>
                <w:rFonts w:asciiTheme="minorHAnsi" w:hAnsiTheme="minorHAnsi" w:cstheme="minorHAnsi"/>
              </w:rPr>
              <w:t xml:space="preserve"> - 1 &amp; 2</w:t>
            </w:r>
          </w:p>
        </w:tc>
        <w:tc>
          <w:tcPr>
            <w:tcW w:w="5528" w:type="dxa"/>
            <w:shd w:val="clear" w:color="auto" w:fill="auto"/>
            <w:noWrap/>
          </w:tcPr>
          <w:p w14:paraId="12C71F77" w14:textId="77777777" w:rsidR="005975B8" w:rsidRPr="00781608" w:rsidRDefault="005975B8" w:rsidP="00D944B7">
            <w:pPr>
              <w:spacing w:line="276" w:lineRule="auto"/>
              <w:jc w:val="both"/>
              <w:rPr>
                <w:rFonts w:asciiTheme="minorHAnsi" w:eastAsia="Times New Roman" w:hAnsiTheme="minorHAnsi" w:cstheme="minorHAnsi"/>
              </w:rPr>
            </w:pPr>
            <w:r w:rsidRPr="00781608">
              <w:rPr>
                <w:rFonts w:asciiTheme="minorHAnsi" w:hAnsiTheme="minorHAnsi" w:cstheme="minorHAnsi"/>
              </w:rPr>
              <w:t>Higher availability is considered for FY 2022-23 as compared to FY 2020-21 and hence higher fixed cost</w:t>
            </w:r>
          </w:p>
        </w:tc>
      </w:tr>
      <w:tr w:rsidR="005975B8" w:rsidRPr="00781608" w14:paraId="19F4E654" w14:textId="77777777" w:rsidTr="00D944B7">
        <w:trPr>
          <w:trHeight w:val="300"/>
        </w:trPr>
        <w:tc>
          <w:tcPr>
            <w:tcW w:w="939" w:type="dxa"/>
            <w:shd w:val="clear" w:color="auto" w:fill="auto"/>
          </w:tcPr>
          <w:p w14:paraId="5E05D7CC" w14:textId="77777777" w:rsidR="005975B8" w:rsidRPr="00781608" w:rsidRDefault="005975B8" w:rsidP="00D944B7">
            <w:pPr>
              <w:spacing w:line="276" w:lineRule="auto"/>
              <w:jc w:val="center"/>
              <w:rPr>
                <w:rFonts w:asciiTheme="minorHAnsi" w:hAnsiTheme="minorHAnsi" w:cstheme="minorHAnsi"/>
              </w:rPr>
            </w:pPr>
            <w:r w:rsidRPr="00781608">
              <w:rPr>
                <w:rFonts w:asciiTheme="minorHAnsi" w:hAnsiTheme="minorHAnsi" w:cstheme="minorHAnsi"/>
              </w:rPr>
              <w:t>21</w:t>
            </w:r>
          </w:p>
        </w:tc>
        <w:tc>
          <w:tcPr>
            <w:tcW w:w="2079" w:type="dxa"/>
            <w:shd w:val="clear" w:color="auto" w:fill="auto"/>
            <w:noWrap/>
          </w:tcPr>
          <w:p w14:paraId="21348B4C" w14:textId="77777777" w:rsidR="005975B8" w:rsidRPr="00781608" w:rsidRDefault="005975B8" w:rsidP="00D944B7">
            <w:pPr>
              <w:spacing w:line="276" w:lineRule="auto"/>
              <w:rPr>
                <w:rFonts w:asciiTheme="minorHAnsi" w:eastAsia="Times New Roman" w:hAnsiTheme="minorHAnsi" w:cstheme="minorHAnsi"/>
              </w:rPr>
            </w:pPr>
            <w:r w:rsidRPr="00781608">
              <w:rPr>
                <w:rFonts w:asciiTheme="minorHAnsi" w:hAnsiTheme="minorHAnsi" w:cstheme="minorHAnsi"/>
              </w:rPr>
              <w:t>NTPC-Talcher</w:t>
            </w:r>
          </w:p>
        </w:tc>
        <w:tc>
          <w:tcPr>
            <w:tcW w:w="5528" w:type="dxa"/>
            <w:shd w:val="clear" w:color="auto" w:fill="auto"/>
            <w:noWrap/>
          </w:tcPr>
          <w:p w14:paraId="77D0A272" w14:textId="77777777" w:rsidR="005975B8" w:rsidRPr="00781608" w:rsidRDefault="005975B8" w:rsidP="00D944B7">
            <w:pPr>
              <w:spacing w:line="276" w:lineRule="auto"/>
              <w:jc w:val="both"/>
              <w:rPr>
                <w:rFonts w:asciiTheme="minorHAnsi" w:eastAsia="Times New Roman" w:hAnsiTheme="minorHAnsi" w:cstheme="minorHAnsi"/>
              </w:rPr>
            </w:pPr>
            <w:r w:rsidRPr="00781608">
              <w:rPr>
                <w:rFonts w:asciiTheme="minorHAnsi" w:hAnsiTheme="minorHAnsi" w:cstheme="minorHAnsi"/>
              </w:rPr>
              <w:t>Higher availability is considered for FY 2022-23 as compared to FY 2020-21 and hence higher fixed cost</w:t>
            </w:r>
          </w:p>
        </w:tc>
      </w:tr>
      <w:tr w:rsidR="005975B8" w:rsidRPr="00781608" w14:paraId="3DD87F36" w14:textId="77777777" w:rsidTr="00D944B7">
        <w:trPr>
          <w:trHeight w:val="300"/>
        </w:trPr>
        <w:tc>
          <w:tcPr>
            <w:tcW w:w="939" w:type="dxa"/>
            <w:shd w:val="clear" w:color="auto" w:fill="auto"/>
          </w:tcPr>
          <w:p w14:paraId="6334E22E" w14:textId="77777777" w:rsidR="005975B8" w:rsidRPr="00781608" w:rsidRDefault="005975B8" w:rsidP="00D944B7">
            <w:pPr>
              <w:spacing w:line="276" w:lineRule="auto"/>
              <w:jc w:val="center"/>
              <w:rPr>
                <w:rFonts w:asciiTheme="minorHAnsi" w:hAnsiTheme="minorHAnsi" w:cstheme="minorHAnsi"/>
              </w:rPr>
            </w:pPr>
            <w:r w:rsidRPr="00781608">
              <w:rPr>
                <w:rFonts w:asciiTheme="minorHAnsi" w:hAnsiTheme="minorHAnsi" w:cstheme="minorHAnsi"/>
              </w:rPr>
              <w:lastRenderedPageBreak/>
              <w:t>22</w:t>
            </w:r>
          </w:p>
        </w:tc>
        <w:tc>
          <w:tcPr>
            <w:tcW w:w="2079" w:type="dxa"/>
            <w:shd w:val="clear" w:color="auto" w:fill="auto"/>
            <w:noWrap/>
          </w:tcPr>
          <w:p w14:paraId="7ED5EB5A" w14:textId="77777777" w:rsidR="005975B8" w:rsidRPr="00781608" w:rsidRDefault="005975B8" w:rsidP="00D944B7">
            <w:pPr>
              <w:spacing w:line="276" w:lineRule="auto"/>
              <w:rPr>
                <w:rFonts w:asciiTheme="minorHAnsi" w:eastAsia="Times New Roman" w:hAnsiTheme="minorHAnsi" w:cstheme="minorHAnsi"/>
              </w:rPr>
            </w:pPr>
            <w:r w:rsidRPr="00781608">
              <w:rPr>
                <w:rFonts w:asciiTheme="minorHAnsi" w:hAnsiTheme="minorHAnsi" w:cstheme="minorHAnsi"/>
              </w:rPr>
              <w:t>NTPC-</w:t>
            </w:r>
            <w:proofErr w:type="spellStart"/>
            <w:r w:rsidRPr="00781608">
              <w:rPr>
                <w:rFonts w:asciiTheme="minorHAnsi" w:hAnsiTheme="minorHAnsi" w:cstheme="minorHAnsi"/>
              </w:rPr>
              <w:t>Darlipalli</w:t>
            </w:r>
            <w:proofErr w:type="spellEnd"/>
          </w:p>
        </w:tc>
        <w:tc>
          <w:tcPr>
            <w:tcW w:w="5528" w:type="dxa"/>
            <w:shd w:val="clear" w:color="auto" w:fill="auto"/>
            <w:noWrap/>
          </w:tcPr>
          <w:p w14:paraId="6FB2EA6E" w14:textId="77777777" w:rsidR="005975B8" w:rsidRPr="00781608" w:rsidRDefault="005975B8" w:rsidP="00D944B7">
            <w:pPr>
              <w:spacing w:line="276" w:lineRule="auto"/>
              <w:jc w:val="both"/>
              <w:rPr>
                <w:rFonts w:asciiTheme="minorHAnsi" w:eastAsia="Times New Roman" w:hAnsiTheme="minorHAnsi" w:cstheme="minorHAnsi"/>
              </w:rPr>
            </w:pPr>
            <w:r w:rsidRPr="00781608">
              <w:rPr>
                <w:rFonts w:asciiTheme="minorHAnsi" w:hAnsiTheme="minorHAnsi" w:cstheme="minorHAnsi"/>
              </w:rPr>
              <w:t>The capacity was allocated in March 2021 pursuant to capacity allocated by Ministry of Power. Therefore, the plant was available for March 2021 in FY 2020-21 whereas for FY 2022-23, the capacity is considered for entire year and hence the Fixed cost is higher in FY 2022-23 as compared to FY 2020-21.</w:t>
            </w:r>
          </w:p>
        </w:tc>
      </w:tr>
      <w:tr w:rsidR="005975B8" w:rsidRPr="00781608" w14:paraId="632E4C5B" w14:textId="77777777" w:rsidTr="00D944B7">
        <w:trPr>
          <w:trHeight w:val="300"/>
        </w:trPr>
        <w:tc>
          <w:tcPr>
            <w:tcW w:w="939" w:type="dxa"/>
            <w:shd w:val="clear" w:color="auto" w:fill="auto"/>
          </w:tcPr>
          <w:p w14:paraId="35952132" w14:textId="77777777" w:rsidR="005975B8" w:rsidRPr="00781608" w:rsidRDefault="005975B8" w:rsidP="00D944B7">
            <w:pPr>
              <w:spacing w:line="276" w:lineRule="auto"/>
              <w:jc w:val="center"/>
              <w:rPr>
                <w:rFonts w:asciiTheme="minorHAnsi" w:hAnsiTheme="minorHAnsi" w:cstheme="minorHAnsi"/>
              </w:rPr>
            </w:pPr>
            <w:r w:rsidRPr="00781608">
              <w:rPr>
                <w:rFonts w:asciiTheme="minorHAnsi" w:hAnsiTheme="minorHAnsi" w:cstheme="minorHAnsi"/>
              </w:rPr>
              <w:t>23</w:t>
            </w:r>
          </w:p>
        </w:tc>
        <w:tc>
          <w:tcPr>
            <w:tcW w:w="2079" w:type="dxa"/>
            <w:shd w:val="clear" w:color="auto" w:fill="auto"/>
            <w:noWrap/>
          </w:tcPr>
          <w:p w14:paraId="35274831" w14:textId="77777777" w:rsidR="005975B8" w:rsidRPr="00781608" w:rsidRDefault="005975B8" w:rsidP="00D944B7">
            <w:pPr>
              <w:spacing w:line="276" w:lineRule="auto"/>
              <w:rPr>
                <w:rFonts w:asciiTheme="minorHAnsi" w:eastAsia="Times New Roman" w:hAnsiTheme="minorHAnsi" w:cstheme="minorHAnsi"/>
              </w:rPr>
            </w:pPr>
            <w:r w:rsidRPr="00781608">
              <w:rPr>
                <w:rFonts w:asciiTheme="minorHAnsi" w:hAnsiTheme="minorHAnsi" w:cstheme="minorHAnsi"/>
              </w:rPr>
              <w:t>NTPC-</w:t>
            </w:r>
            <w:proofErr w:type="spellStart"/>
            <w:r w:rsidRPr="00781608">
              <w:rPr>
                <w:rFonts w:asciiTheme="minorHAnsi" w:hAnsiTheme="minorHAnsi" w:cstheme="minorHAnsi"/>
              </w:rPr>
              <w:t>Unchahar</w:t>
            </w:r>
            <w:proofErr w:type="spellEnd"/>
            <w:r w:rsidRPr="00781608">
              <w:rPr>
                <w:rFonts w:asciiTheme="minorHAnsi" w:hAnsiTheme="minorHAnsi" w:cstheme="minorHAnsi"/>
              </w:rPr>
              <w:t xml:space="preserve"> - 1</w:t>
            </w:r>
          </w:p>
        </w:tc>
        <w:tc>
          <w:tcPr>
            <w:tcW w:w="5528" w:type="dxa"/>
            <w:shd w:val="clear" w:color="auto" w:fill="auto"/>
            <w:noWrap/>
          </w:tcPr>
          <w:p w14:paraId="3F094F26" w14:textId="77777777" w:rsidR="005975B8" w:rsidRPr="00781608" w:rsidRDefault="005975B8" w:rsidP="00D944B7">
            <w:pPr>
              <w:spacing w:line="276" w:lineRule="auto"/>
              <w:jc w:val="both"/>
              <w:rPr>
                <w:rFonts w:asciiTheme="minorHAnsi" w:eastAsia="Times New Roman" w:hAnsiTheme="minorHAnsi" w:cstheme="minorHAnsi"/>
              </w:rPr>
            </w:pPr>
            <w:r w:rsidRPr="00781608">
              <w:rPr>
                <w:rFonts w:asciiTheme="minorHAnsi" w:hAnsiTheme="minorHAnsi" w:cstheme="minorHAnsi"/>
              </w:rPr>
              <w:t>The capacity was allocated in March 2021 pursuant to capacity allocated by Ministry of Power. Therefore, the plant was available for March 2021 in FY 2020-21 whereas for FY 2022-23, the capacity is considered for entire year and hence the Fixed cost is higher in FY 2022-23 as compared to FY 2020-21.</w:t>
            </w:r>
          </w:p>
        </w:tc>
      </w:tr>
      <w:tr w:rsidR="005975B8" w:rsidRPr="00781608" w14:paraId="1063E1F0" w14:textId="77777777" w:rsidTr="00D944B7">
        <w:trPr>
          <w:trHeight w:val="300"/>
        </w:trPr>
        <w:tc>
          <w:tcPr>
            <w:tcW w:w="939" w:type="dxa"/>
            <w:shd w:val="clear" w:color="auto" w:fill="auto"/>
          </w:tcPr>
          <w:p w14:paraId="023419F3" w14:textId="77777777" w:rsidR="005975B8" w:rsidRPr="00781608" w:rsidRDefault="005975B8" w:rsidP="00D944B7">
            <w:pPr>
              <w:spacing w:line="276" w:lineRule="auto"/>
              <w:jc w:val="center"/>
              <w:rPr>
                <w:rFonts w:asciiTheme="minorHAnsi" w:hAnsiTheme="minorHAnsi" w:cstheme="minorHAnsi"/>
              </w:rPr>
            </w:pPr>
            <w:r w:rsidRPr="00781608">
              <w:rPr>
                <w:rFonts w:asciiTheme="minorHAnsi" w:hAnsiTheme="minorHAnsi" w:cstheme="minorHAnsi"/>
              </w:rPr>
              <w:t>24</w:t>
            </w:r>
          </w:p>
        </w:tc>
        <w:tc>
          <w:tcPr>
            <w:tcW w:w="2079" w:type="dxa"/>
            <w:shd w:val="clear" w:color="auto" w:fill="auto"/>
            <w:noWrap/>
          </w:tcPr>
          <w:p w14:paraId="23D43F6B" w14:textId="77777777" w:rsidR="005975B8" w:rsidRPr="00781608" w:rsidRDefault="005975B8" w:rsidP="00D944B7">
            <w:pPr>
              <w:spacing w:line="276" w:lineRule="auto"/>
              <w:rPr>
                <w:rFonts w:asciiTheme="minorHAnsi" w:eastAsia="Times New Roman" w:hAnsiTheme="minorHAnsi" w:cstheme="minorHAnsi"/>
              </w:rPr>
            </w:pPr>
            <w:r w:rsidRPr="00781608">
              <w:rPr>
                <w:rFonts w:asciiTheme="minorHAnsi" w:hAnsiTheme="minorHAnsi" w:cstheme="minorHAnsi"/>
              </w:rPr>
              <w:t>NTPC-Tanda - 2</w:t>
            </w:r>
          </w:p>
        </w:tc>
        <w:tc>
          <w:tcPr>
            <w:tcW w:w="5528" w:type="dxa"/>
            <w:shd w:val="clear" w:color="auto" w:fill="auto"/>
            <w:noWrap/>
          </w:tcPr>
          <w:p w14:paraId="2091B1EF" w14:textId="77777777" w:rsidR="005975B8" w:rsidRPr="00781608" w:rsidRDefault="005975B8" w:rsidP="00D944B7">
            <w:pPr>
              <w:spacing w:line="276" w:lineRule="auto"/>
              <w:jc w:val="both"/>
              <w:rPr>
                <w:rFonts w:asciiTheme="minorHAnsi" w:eastAsia="Times New Roman" w:hAnsiTheme="minorHAnsi" w:cstheme="minorHAnsi"/>
              </w:rPr>
            </w:pPr>
            <w:r w:rsidRPr="00781608">
              <w:rPr>
                <w:rFonts w:asciiTheme="minorHAnsi" w:hAnsiTheme="minorHAnsi" w:cstheme="minorHAnsi"/>
              </w:rPr>
              <w:t>The capacity was allocated in March 2021 pursuant to capacity allocated by Ministry of Power. Therefore, the plant was available for March 2021 in FY 2020-21 whereas for FY 2022-23, the capacity is considered for entire year and hence the Fixed cost is higher in FY 2022-23 as compared to FY 2020-21.</w:t>
            </w:r>
          </w:p>
        </w:tc>
      </w:tr>
      <w:tr w:rsidR="005975B8" w:rsidRPr="00781608" w14:paraId="72A2ED7A" w14:textId="77777777" w:rsidTr="00D944B7">
        <w:trPr>
          <w:trHeight w:val="300"/>
        </w:trPr>
        <w:tc>
          <w:tcPr>
            <w:tcW w:w="939" w:type="dxa"/>
            <w:shd w:val="clear" w:color="auto" w:fill="auto"/>
          </w:tcPr>
          <w:p w14:paraId="62DF6BEF" w14:textId="77777777" w:rsidR="005975B8" w:rsidRPr="00781608" w:rsidRDefault="005975B8" w:rsidP="00D944B7">
            <w:pPr>
              <w:spacing w:line="276" w:lineRule="auto"/>
              <w:jc w:val="center"/>
              <w:rPr>
                <w:rFonts w:asciiTheme="minorHAnsi" w:hAnsiTheme="minorHAnsi" w:cstheme="minorHAnsi"/>
              </w:rPr>
            </w:pPr>
            <w:r w:rsidRPr="00781608">
              <w:rPr>
                <w:rFonts w:asciiTheme="minorHAnsi" w:hAnsiTheme="minorHAnsi" w:cstheme="minorHAnsi"/>
              </w:rPr>
              <w:t>25</w:t>
            </w:r>
          </w:p>
        </w:tc>
        <w:tc>
          <w:tcPr>
            <w:tcW w:w="2079" w:type="dxa"/>
            <w:shd w:val="clear" w:color="auto" w:fill="auto"/>
            <w:noWrap/>
          </w:tcPr>
          <w:p w14:paraId="303C8F0F" w14:textId="77777777" w:rsidR="005975B8" w:rsidRPr="00781608" w:rsidRDefault="005975B8" w:rsidP="00D944B7">
            <w:pPr>
              <w:spacing w:line="276" w:lineRule="auto"/>
              <w:rPr>
                <w:rFonts w:asciiTheme="minorHAnsi" w:eastAsia="Times New Roman" w:hAnsiTheme="minorHAnsi" w:cstheme="minorHAnsi"/>
              </w:rPr>
            </w:pPr>
            <w:r w:rsidRPr="00781608">
              <w:rPr>
                <w:rFonts w:asciiTheme="minorHAnsi" w:hAnsiTheme="minorHAnsi" w:cstheme="minorHAnsi"/>
              </w:rPr>
              <w:t>Sardar Sarovar Nigam Ltd</w:t>
            </w:r>
          </w:p>
        </w:tc>
        <w:tc>
          <w:tcPr>
            <w:tcW w:w="5528" w:type="dxa"/>
            <w:shd w:val="clear" w:color="auto" w:fill="auto"/>
            <w:noWrap/>
          </w:tcPr>
          <w:p w14:paraId="1E49071F" w14:textId="3818A521" w:rsidR="005975B8" w:rsidRPr="00781608" w:rsidRDefault="005975B8" w:rsidP="00D944B7">
            <w:pPr>
              <w:spacing w:line="276" w:lineRule="auto"/>
              <w:jc w:val="both"/>
              <w:rPr>
                <w:rFonts w:asciiTheme="minorHAnsi" w:eastAsia="Times New Roman" w:hAnsiTheme="minorHAnsi" w:cstheme="minorHAnsi"/>
              </w:rPr>
            </w:pPr>
            <w:r w:rsidRPr="00781608">
              <w:rPr>
                <w:rFonts w:asciiTheme="minorHAnsi" w:eastAsia="Times New Roman" w:hAnsiTheme="minorHAnsi" w:cstheme="minorHAnsi"/>
              </w:rPr>
              <w:t xml:space="preserve">Discom has inadvertently considered fixed charges for SSNL for FY 2022-23. It is submitted </w:t>
            </w:r>
            <w:r w:rsidR="004E1AC7">
              <w:rPr>
                <w:rFonts w:asciiTheme="minorHAnsi" w:eastAsia="Times New Roman" w:hAnsiTheme="minorHAnsi" w:cstheme="minorHAnsi"/>
              </w:rPr>
              <w:t xml:space="preserve">that </w:t>
            </w:r>
            <w:r w:rsidRPr="00781608">
              <w:rPr>
                <w:rFonts w:asciiTheme="minorHAnsi" w:eastAsia="Times New Roman" w:hAnsiTheme="minorHAnsi" w:cstheme="minorHAnsi"/>
              </w:rPr>
              <w:t>SSNL has only energy charges and hence the Hon’ble Commission is requested to consider accordingly.</w:t>
            </w:r>
          </w:p>
        </w:tc>
      </w:tr>
      <w:tr w:rsidR="005975B8" w:rsidRPr="00781608" w14:paraId="2CC184D7" w14:textId="77777777" w:rsidTr="00D944B7">
        <w:trPr>
          <w:trHeight w:val="300"/>
        </w:trPr>
        <w:tc>
          <w:tcPr>
            <w:tcW w:w="939" w:type="dxa"/>
            <w:shd w:val="clear" w:color="auto" w:fill="auto"/>
          </w:tcPr>
          <w:p w14:paraId="6F7D4A84" w14:textId="77777777" w:rsidR="005975B8" w:rsidRPr="00781608" w:rsidRDefault="005975B8" w:rsidP="00D944B7">
            <w:pPr>
              <w:spacing w:line="276" w:lineRule="auto"/>
              <w:jc w:val="center"/>
              <w:rPr>
                <w:rFonts w:asciiTheme="minorHAnsi" w:hAnsiTheme="minorHAnsi" w:cstheme="minorHAnsi"/>
              </w:rPr>
            </w:pPr>
            <w:r w:rsidRPr="00781608">
              <w:rPr>
                <w:rFonts w:asciiTheme="minorHAnsi" w:hAnsiTheme="minorHAnsi" w:cstheme="minorHAnsi"/>
              </w:rPr>
              <w:t>26</w:t>
            </w:r>
          </w:p>
        </w:tc>
        <w:tc>
          <w:tcPr>
            <w:tcW w:w="2079" w:type="dxa"/>
            <w:shd w:val="clear" w:color="auto" w:fill="auto"/>
            <w:noWrap/>
          </w:tcPr>
          <w:p w14:paraId="34A0AB0E" w14:textId="77777777" w:rsidR="005975B8" w:rsidRPr="00781608" w:rsidRDefault="005975B8" w:rsidP="00D944B7">
            <w:pPr>
              <w:spacing w:line="276" w:lineRule="auto"/>
              <w:rPr>
                <w:rFonts w:asciiTheme="minorHAnsi" w:eastAsia="Times New Roman" w:hAnsiTheme="minorHAnsi" w:cstheme="minorHAnsi"/>
              </w:rPr>
            </w:pPr>
            <w:r w:rsidRPr="00781608">
              <w:rPr>
                <w:rFonts w:asciiTheme="minorHAnsi" w:hAnsiTheme="minorHAnsi" w:cstheme="minorHAnsi"/>
              </w:rPr>
              <w:t>Essar Power Gujarat Ltd</w:t>
            </w:r>
          </w:p>
        </w:tc>
        <w:tc>
          <w:tcPr>
            <w:tcW w:w="5528" w:type="dxa"/>
            <w:shd w:val="clear" w:color="auto" w:fill="auto"/>
            <w:noWrap/>
          </w:tcPr>
          <w:p w14:paraId="12CF10BB" w14:textId="77777777" w:rsidR="005975B8" w:rsidRPr="00781608" w:rsidRDefault="005975B8" w:rsidP="00D944B7">
            <w:pPr>
              <w:spacing w:line="276" w:lineRule="auto"/>
              <w:jc w:val="both"/>
              <w:rPr>
                <w:rFonts w:asciiTheme="minorHAnsi" w:eastAsia="Times New Roman" w:hAnsiTheme="minorHAnsi" w:cstheme="minorHAnsi"/>
              </w:rPr>
            </w:pPr>
            <w:r w:rsidRPr="00781608">
              <w:rPr>
                <w:rFonts w:asciiTheme="minorHAnsi" w:eastAsia="Times New Roman" w:hAnsiTheme="minorHAnsi" w:cstheme="minorHAnsi"/>
              </w:rPr>
              <w:t>As per estimation of fixed cost payment to be made during FY 2022-23 as per PPA</w:t>
            </w:r>
          </w:p>
        </w:tc>
      </w:tr>
      <w:tr w:rsidR="005975B8" w:rsidRPr="00781608" w14:paraId="2DEB6AEA" w14:textId="77777777" w:rsidTr="00D944B7">
        <w:trPr>
          <w:trHeight w:val="300"/>
        </w:trPr>
        <w:tc>
          <w:tcPr>
            <w:tcW w:w="939" w:type="dxa"/>
            <w:shd w:val="clear" w:color="auto" w:fill="auto"/>
          </w:tcPr>
          <w:p w14:paraId="1711FAB5" w14:textId="77777777" w:rsidR="005975B8" w:rsidRPr="00781608" w:rsidRDefault="005975B8" w:rsidP="00D944B7">
            <w:pPr>
              <w:spacing w:line="276" w:lineRule="auto"/>
              <w:jc w:val="center"/>
              <w:rPr>
                <w:rFonts w:asciiTheme="minorHAnsi" w:hAnsiTheme="minorHAnsi" w:cstheme="minorHAnsi"/>
              </w:rPr>
            </w:pPr>
            <w:r w:rsidRPr="00781608">
              <w:rPr>
                <w:rFonts w:asciiTheme="minorHAnsi" w:hAnsiTheme="minorHAnsi" w:cstheme="minorHAnsi"/>
              </w:rPr>
              <w:t>27</w:t>
            </w:r>
          </w:p>
        </w:tc>
        <w:tc>
          <w:tcPr>
            <w:tcW w:w="2079" w:type="dxa"/>
            <w:shd w:val="clear" w:color="auto" w:fill="auto"/>
            <w:noWrap/>
          </w:tcPr>
          <w:p w14:paraId="27CBB9FD" w14:textId="77777777" w:rsidR="005975B8" w:rsidRPr="00781608" w:rsidRDefault="005975B8" w:rsidP="00D944B7">
            <w:pPr>
              <w:spacing w:line="276" w:lineRule="auto"/>
              <w:rPr>
                <w:rFonts w:asciiTheme="minorHAnsi" w:eastAsia="Times New Roman" w:hAnsiTheme="minorHAnsi" w:cstheme="minorHAnsi"/>
              </w:rPr>
            </w:pPr>
            <w:r w:rsidRPr="00781608">
              <w:rPr>
                <w:rFonts w:asciiTheme="minorHAnsi" w:hAnsiTheme="minorHAnsi" w:cstheme="minorHAnsi"/>
              </w:rPr>
              <w:t>Adani Power Ltd</w:t>
            </w:r>
          </w:p>
        </w:tc>
        <w:tc>
          <w:tcPr>
            <w:tcW w:w="5528" w:type="dxa"/>
            <w:shd w:val="clear" w:color="auto" w:fill="auto"/>
            <w:noWrap/>
          </w:tcPr>
          <w:p w14:paraId="4DAAD648" w14:textId="77777777" w:rsidR="005975B8" w:rsidRPr="00781608" w:rsidRDefault="005975B8" w:rsidP="00D944B7">
            <w:pPr>
              <w:spacing w:line="276" w:lineRule="auto"/>
              <w:jc w:val="both"/>
              <w:rPr>
                <w:rFonts w:asciiTheme="minorHAnsi" w:eastAsia="Times New Roman" w:hAnsiTheme="minorHAnsi" w:cstheme="minorHAnsi"/>
              </w:rPr>
            </w:pPr>
            <w:r w:rsidRPr="00781608">
              <w:rPr>
                <w:rFonts w:asciiTheme="minorHAnsi" w:eastAsia="Times New Roman" w:hAnsiTheme="minorHAnsi" w:cstheme="minorHAnsi"/>
              </w:rPr>
              <w:t>As per estimation of fixed cost payment to be made during FY 2022-23 as per PPA</w:t>
            </w:r>
          </w:p>
        </w:tc>
      </w:tr>
      <w:tr w:rsidR="005975B8" w:rsidRPr="00781608" w14:paraId="0E1105CC" w14:textId="77777777" w:rsidTr="00D944B7">
        <w:trPr>
          <w:trHeight w:val="300"/>
        </w:trPr>
        <w:tc>
          <w:tcPr>
            <w:tcW w:w="939" w:type="dxa"/>
            <w:shd w:val="clear" w:color="auto" w:fill="auto"/>
          </w:tcPr>
          <w:p w14:paraId="3B7155EB" w14:textId="77777777" w:rsidR="005975B8" w:rsidRPr="00781608" w:rsidRDefault="005975B8" w:rsidP="00D944B7">
            <w:pPr>
              <w:spacing w:line="276" w:lineRule="auto"/>
              <w:jc w:val="center"/>
              <w:rPr>
                <w:rFonts w:asciiTheme="minorHAnsi" w:hAnsiTheme="minorHAnsi" w:cstheme="minorHAnsi"/>
              </w:rPr>
            </w:pPr>
            <w:r w:rsidRPr="00781608">
              <w:rPr>
                <w:rFonts w:asciiTheme="minorHAnsi" w:hAnsiTheme="minorHAnsi" w:cstheme="minorHAnsi"/>
              </w:rPr>
              <w:t>28</w:t>
            </w:r>
          </w:p>
        </w:tc>
        <w:tc>
          <w:tcPr>
            <w:tcW w:w="2079" w:type="dxa"/>
            <w:shd w:val="clear" w:color="auto" w:fill="auto"/>
            <w:noWrap/>
          </w:tcPr>
          <w:p w14:paraId="05F9FA15" w14:textId="77777777" w:rsidR="005975B8" w:rsidRPr="00781608" w:rsidRDefault="005975B8" w:rsidP="00D944B7">
            <w:pPr>
              <w:spacing w:line="276" w:lineRule="auto"/>
              <w:rPr>
                <w:rFonts w:asciiTheme="minorHAnsi" w:eastAsia="Times New Roman" w:hAnsiTheme="minorHAnsi" w:cstheme="minorHAnsi"/>
              </w:rPr>
            </w:pPr>
            <w:r w:rsidRPr="00781608">
              <w:rPr>
                <w:rFonts w:asciiTheme="minorHAnsi" w:hAnsiTheme="minorHAnsi" w:cstheme="minorHAnsi"/>
              </w:rPr>
              <w:t>ACB India Ltd.</w:t>
            </w:r>
          </w:p>
        </w:tc>
        <w:tc>
          <w:tcPr>
            <w:tcW w:w="5528" w:type="dxa"/>
            <w:shd w:val="clear" w:color="auto" w:fill="auto"/>
            <w:noWrap/>
          </w:tcPr>
          <w:p w14:paraId="61FBA5B5" w14:textId="77777777" w:rsidR="005975B8" w:rsidRPr="00781608" w:rsidRDefault="005975B8" w:rsidP="00D944B7">
            <w:pPr>
              <w:spacing w:line="276" w:lineRule="auto"/>
              <w:jc w:val="both"/>
              <w:rPr>
                <w:rFonts w:asciiTheme="minorHAnsi" w:eastAsia="Times New Roman" w:hAnsiTheme="minorHAnsi" w:cstheme="minorHAnsi"/>
              </w:rPr>
            </w:pPr>
            <w:r w:rsidRPr="00781608">
              <w:rPr>
                <w:rFonts w:asciiTheme="minorHAnsi" w:eastAsia="Times New Roman" w:hAnsiTheme="minorHAnsi" w:cstheme="minorHAnsi"/>
              </w:rPr>
              <w:t>As per estimation of fixed cost payment to be made during FY 2022-23 as per PPA</w:t>
            </w:r>
          </w:p>
        </w:tc>
      </w:tr>
      <w:tr w:rsidR="005975B8" w:rsidRPr="00781608" w14:paraId="2F985FBD" w14:textId="77777777" w:rsidTr="00D944B7">
        <w:trPr>
          <w:trHeight w:val="300"/>
        </w:trPr>
        <w:tc>
          <w:tcPr>
            <w:tcW w:w="939" w:type="dxa"/>
            <w:shd w:val="clear" w:color="auto" w:fill="auto"/>
          </w:tcPr>
          <w:p w14:paraId="3E180BF2" w14:textId="77777777" w:rsidR="005975B8" w:rsidRPr="00781608" w:rsidRDefault="005975B8" w:rsidP="00D944B7">
            <w:pPr>
              <w:spacing w:line="276" w:lineRule="auto"/>
              <w:jc w:val="center"/>
              <w:rPr>
                <w:rFonts w:asciiTheme="minorHAnsi" w:hAnsiTheme="minorHAnsi" w:cstheme="minorHAnsi"/>
              </w:rPr>
            </w:pPr>
            <w:r w:rsidRPr="00781608">
              <w:rPr>
                <w:rFonts w:asciiTheme="minorHAnsi" w:hAnsiTheme="minorHAnsi" w:cstheme="minorHAnsi"/>
              </w:rPr>
              <w:t>29</w:t>
            </w:r>
          </w:p>
        </w:tc>
        <w:tc>
          <w:tcPr>
            <w:tcW w:w="2079" w:type="dxa"/>
            <w:shd w:val="clear" w:color="auto" w:fill="auto"/>
            <w:noWrap/>
          </w:tcPr>
          <w:p w14:paraId="3B8F1C87" w14:textId="77777777" w:rsidR="005975B8" w:rsidRPr="00781608" w:rsidRDefault="005975B8" w:rsidP="00D944B7">
            <w:pPr>
              <w:spacing w:line="276" w:lineRule="auto"/>
              <w:rPr>
                <w:rFonts w:asciiTheme="minorHAnsi" w:eastAsia="Times New Roman" w:hAnsiTheme="minorHAnsi" w:cstheme="minorHAnsi"/>
              </w:rPr>
            </w:pPr>
            <w:r w:rsidRPr="00781608">
              <w:rPr>
                <w:rFonts w:asciiTheme="minorHAnsi" w:hAnsiTheme="minorHAnsi" w:cstheme="minorHAnsi"/>
              </w:rPr>
              <w:t>Coastal Gujarat Power Co Ltd</w:t>
            </w:r>
          </w:p>
        </w:tc>
        <w:tc>
          <w:tcPr>
            <w:tcW w:w="5528" w:type="dxa"/>
            <w:shd w:val="clear" w:color="auto" w:fill="auto"/>
            <w:noWrap/>
          </w:tcPr>
          <w:p w14:paraId="7C464A2B" w14:textId="77777777" w:rsidR="005975B8" w:rsidRPr="00781608" w:rsidRDefault="005975B8" w:rsidP="00D944B7">
            <w:pPr>
              <w:spacing w:line="276" w:lineRule="auto"/>
              <w:jc w:val="both"/>
              <w:rPr>
                <w:rFonts w:asciiTheme="minorHAnsi" w:eastAsia="Times New Roman" w:hAnsiTheme="minorHAnsi" w:cstheme="minorHAnsi"/>
              </w:rPr>
            </w:pPr>
            <w:r w:rsidRPr="00781608">
              <w:rPr>
                <w:rFonts w:asciiTheme="minorHAnsi" w:eastAsia="Times New Roman" w:hAnsiTheme="minorHAnsi" w:cstheme="minorHAnsi"/>
              </w:rPr>
              <w:t>As per estimation of fixed cost payment to be made during FY 2022-23 as per PPA</w:t>
            </w:r>
          </w:p>
        </w:tc>
      </w:tr>
      <w:bookmarkEnd w:id="13"/>
    </w:tbl>
    <w:p w14:paraId="20823BFA" w14:textId="77777777" w:rsidR="005975B8" w:rsidRPr="00781608" w:rsidRDefault="005975B8" w:rsidP="00E85684">
      <w:pPr>
        <w:pStyle w:val="ydp360db5b4yiv6248630976msolistparagraph"/>
        <w:spacing w:beforeAutospacing="0" w:after="200" w:afterAutospacing="0" w:line="276" w:lineRule="auto"/>
        <w:ind w:left="720"/>
        <w:jc w:val="both"/>
        <w:rPr>
          <w:rFonts w:asciiTheme="minorHAnsi" w:eastAsia="Times New Roman" w:hAnsiTheme="minorHAnsi" w:cstheme="minorHAnsi"/>
          <w:b/>
          <w:bCs/>
          <w:sz w:val="24"/>
          <w:szCs w:val="24"/>
        </w:rPr>
      </w:pPr>
    </w:p>
    <w:p w14:paraId="69B1EBBC" w14:textId="77777777" w:rsidR="00A56DF7" w:rsidRPr="00781608" w:rsidRDefault="00A56DF7" w:rsidP="00E85684">
      <w:pPr>
        <w:pStyle w:val="ydp360db5b4yiv6248630976msolistparagraph"/>
        <w:numPr>
          <w:ilvl w:val="0"/>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As regards the Generation Capacity Addition considered in Table 58, UGVCL should provide details of expected COD of these new Stations.</w:t>
      </w:r>
    </w:p>
    <w:p w14:paraId="69AD73AB" w14:textId="77777777" w:rsidR="00D94A2A" w:rsidRPr="00781608" w:rsidRDefault="00836677" w:rsidP="00E85684">
      <w:pPr>
        <w:pStyle w:val="ydp360db5b4yiv6248630976msolistparagraph"/>
        <w:spacing w:beforeAutospacing="0" w:after="200" w:afterAutospacing="0" w:line="276" w:lineRule="auto"/>
        <w:ind w:left="720"/>
        <w:jc w:val="both"/>
        <w:rPr>
          <w:rFonts w:asciiTheme="minorHAnsi" w:eastAsia="Times New Roman" w:hAnsiTheme="minorHAnsi" w:cstheme="minorHAnsi"/>
          <w:b/>
          <w:bCs/>
          <w:sz w:val="24"/>
          <w:szCs w:val="24"/>
        </w:rPr>
      </w:pPr>
      <w:r w:rsidRPr="00781608">
        <w:rPr>
          <w:rFonts w:asciiTheme="minorHAnsi" w:eastAsia="Times New Roman" w:hAnsiTheme="minorHAnsi" w:cstheme="minorHAnsi"/>
          <w:b/>
          <w:bCs/>
          <w:sz w:val="24"/>
          <w:szCs w:val="24"/>
        </w:rPr>
        <w:t>Compliance</w:t>
      </w:r>
      <w:r w:rsidR="00D94A2A" w:rsidRPr="00781608">
        <w:rPr>
          <w:rFonts w:asciiTheme="minorHAnsi" w:eastAsia="Times New Roman" w:hAnsiTheme="minorHAnsi" w:cstheme="minorHAnsi"/>
          <w:b/>
          <w:bCs/>
          <w:sz w:val="24"/>
          <w:szCs w:val="24"/>
        </w:rPr>
        <w:t>:</w:t>
      </w:r>
    </w:p>
    <w:tbl>
      <w:tblPr>
        <w:tblW w:w="694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2079"/>
        <w:gridCol w:w="3928"/>
      </w:tblGrid>
      <w:tr w:rsidR="003C247B" w:rsidRPr="00781608" w14:paraId="2E582ADC" w14:textId="77777777" w:rsidTr="009164C6">
        <w:trPr>
          <w:trHeight w:val="300"/>
          <w:tblHeader/>
        </w:trPr>
        <w:tc>
          <w:tcPr>
            <w:tcW w:w="939" w:type="dxa"/>
            <w:shd w:val="clear" w:color="000000" w:fill="DDEBF7"/>
            <w:noWrap/>
            <w:hideMark/>
          </w:tcPr>
          <w:p w14:paraId="3E3B684C" w14:textId="77777777" w:rsidR="00D94A2A" w:rsidRPr="00781608" w:rsidRDefault="00D94A2A" w:rsidP="00E85684">
            <w:pPr>
              <w:spacing w:line="276" w:lineRule="auto"/>
              <w:jc w:val="center"/>
              <w:rPr>
                <w:rFonts w:asciiTheme="minorHAnsi" w:eastAsia="Times New Roman" w:hAnsiTheme="minorHAnsi" w:cstheme="minorHAnsi"/>
                <w:b/>
                <w:bCs/>
              </w:rPr>
            </w:pPr>
            <w:r w:rsidRPr="00781608">
              <w:rPr>
                <w:rFonts w:asciiTheme="minorHAnsi" w:hAnsiTheme="minorHAnsi" w:cstheme="minorHAnsi"/>
                <w:b/>
                <w:bCs/>
              </w:rPr>
              <w:t>Sr. No.</w:t>
            </w:r>
          </w:p>
        </w:tc>
        <w:tc>
          <w:tcPr>
            <w:tcW w:w="2079" w:type="dxa"/>
            <w:shd w:val="clear" w:color="000000" w:fill="DDEBF7"/>
            <w:hideMark/>
          </w:tcPr>
          <w:p w14:paraId="081D0B26" w14:textId="77777777" w:rsidR="00D94A2A" w:rsidRPr="00781608" w:rsidRDefault="00D94A2A" w:rsidP="00E85684">
            <w:pPr>
              <w:spacing w:line="276" w:lineRule="auto"/>
              <w:jc w:val="center"/>
              <w:rPr>
                <w:rFonts w:asciiTheme="minorHAnsi" w:hAnsiTheme="minorHAnsi" w:cstheme="minorHAnsi"/>
                <w:b/>
                <w:bCs/>
              </w:rPr>
            </w:pPr>
            <w:r w:rsidRPr="00781608">
              <w:rPr>
                <w:rFonts w:asciiTheme="minorHAnsi" w:hAnsiTheme="minorHAnsi" w:cstheme="minorHAnsi"/>
                <w:b/>
                <w:bCs/>
              </w:rPr>
              <w:t>Plant Name</w:t>
            </w:r>
          </w:p>
        </w:tc>
        <w:tc>
          <w:tcPr>
            <w:tcW w:w="3928" w:type="dxa"/>
            <w:shd w:val="clear" w:color="000000" w:fill="DDEBF7"/>
            <w:hideMark/>
          </w:tcPr>
          <w:p w14:paraId="5D41549E" w14:textId="77777777" w:rsidR="00D94A2A" w:rsidRPr="00781608" w:rsidRDefault="008347AB" w:rsidP="00E85684">
            <w:pPr>
              <w:spacing w:line="276" w:lineRule="auto"/>
              <w:jc w:val="center"/>
              <w:rPr>
                <w:rFonts w:asciiTheme="minorHAnsi" w:eastAsia="Times New Roman" w:hAnsiTheme="minorHAnsi" w:cstheme="minorHAnsi"/>
                <w:b/>
                <w:bCs/>
              </w:rPr>
            </w:pPr>
            <w:r w:rsidRPr="00781608">
              <w:rPr>
                <w:rFonts w:asciiTheme="minorHAnsi" w:hAnsiTheme="minorHAnsi" w:cstheme="minorHAnsi"/>
                <w:b/>
                <w:bCs/>
              </w:rPr>
              <w:t xml:space="preserve">Expected </w:t>
            </w:r>
            <w:proofErr w:type="spellStart"/>
            <w:r w:rsidRPr="00781608">
              <w:rPr>
                <w:rFonts w:asciiTheme="minorHAnsi" w:hAnsiTheme="minorHAnsi" w:cstheme="minorHAnsi"/>
                <w:b/>
                <w:bCs/>
              </w:rPr>
              <w:t>CoD</w:t>
            </w:r>
            <w:proofErr w:type="spellEnd"/>
          </w:p>
        </w:tc>
      </w:tr>
      <w:tr w:rsidR="009164C6" w:rsidRPr="00781608" w14:paraId="0DFE0C38" w14:textId="77777777" w:rsidTr="009164C6">
        <w:trPr>
          <w:trHeight w:val="300"/>
        </w:trPr>
        <w:tc>
          <w:tcPr>
            <w:tcW w:w="939" w:type="dxa"/>
            <w:shd w:val="clear" w:color="auto" w:fill="auto"/>
            <w:hideMark/>
          </w:tcPr>
          <w:p w14:paraId="0770FE43" w14:textId="77777777" w:rsidR="009164C6" w:rsidRPr="00781608" w:rsidRDefault="009164C6" w:rsidP="00E85684">
            <w:pPr>
              <w:spacing w:line="276" w:lineRule="auto"/>
              <w:jc w:val="center"/>
              <w:rPr>
                <w:rFonts w:asciiTheme="minorHAnsi" w:eastAsia="Times New Roman" w:hAnsiTheme="minorHAnsi" w:cstheme="minorHAnsi"/>
              </w:rPr>
            </w:pPr>
            <w:r w:rsidRPr="00781608">
              <w:rPr>
                <w:rFonts w:asciiTheme="minorHAnsi" w:hAnsiTheme="minorHAnsi" w:cstheme="minorHAnsi"/>
              </w:rPr>
              <w:t>1</w:t>
            </w:r>
          </w:p>
        </w:tc>
        <w:tc>
          <w:tcPr>
            <w:tcW w:w="2079" w:type="dxa"/>
            <w:shd w:val="clear" w:color="auto" w:fill="auto"/>
            <w:noWrap/>
          </w:tcPr>
          <w:p w14:paraId="14D6F6A2" w14:textId="77777777" w:rsidR="009164C6" w:rsidRPr="00781608" w:rsidRDefault="009164C6" w:rsidP="00E85684">
            <w:pPr>
              <w:spacing w:line="276" w:lineRule="auto"/>
              <w:rPr>
                <w:rFonts w:asciiTheme="minorHAnsi" w:eastAsia="Times New Roman" w:hAnsiTheme="minorHAnsi" w:cstheme="minorHAnsi"/>
              </w:rPr>
            </w:pPr>
            <w:proofErr w:type="spellStart"/>
            <w:r w:rsidRPr="00781608">
              <w:rPr>
                <w:rFonts w:asciiTheme="minorHAnsi" w:hAnsiTheme="minorHAnsi" w:cstheme="minorHAnsi"/>
              </w:rPr>
              <w:t>Ramagundum</w:t>
            </w:r>
            <w:proofErr w:type="spellEnd"/>
            <w:r w:rsidRPr="00781608">
              <w:rPr>
                <w:rFonts w:asciiTheme="minorHAnsi" w:hAnsiTheme="minorHAnsi" w:cstheme="minorHAnsi"/>
              </w:rPr>
              <w:t xml:space="preserve"> I &amp; II</w:t>
            </w:r>
          </w:p>
        </w:tc>
        <w:tc>
          <w:tcPr>
            <w:tcW w:w="3928" w:type="dxa"/>
            <w:vMerge w:val="restart"/>
            <w:shd w:val="clear" w:color="auto" w:fill="auto"/>
            <w:noWrap/>
          </w:tcPr>
          <w:p w14:paraId="15C0515D" w14:textId="77777777" w:rsidR="009164C6" w:rsidRPr="00781608" w:rsidRDefault="009164C6" w:rsidP="00E85684">
            <w:pPr>
              <w:spacing w:line="276" w:lineRule="auto"/>
              <w:jc w:val="both"/>
              <w:rPr>
                <w:rFonts w:asciiTheme="minorHAnsi" w:eastAsia="Times New Roman" w:hAnsiTheme="minorHAnsi" w:cstheme="minorHAnsi"/>
              </w:rPr>
            </w:pPr>
            <w:r w:rsidRPr="00781608">
              <w:rPr>
                <w:rFonts w:asciiTheme="minorHAnsi" w:eastAsia="Times New Roman" w:hAnsiTheme="minorHAnsi" w:cstheme="minorHAnsi"/>
              </w:rPr>
              <w:t>Already commissioned power plant but additional capacity will be available during FY 2022-23</w:t>
            </w:r>
          </w:p>
        </w:tc>
      </w:tr>
      <w:tr w:rsidR="009164C6" w:rsidRPr="00781608" w14:paraId="513D1C78" w14:textId="77777777" w:rsidTr="009164C6">
        <w:trPr>
          <w:trHeight w:val="300"/>
        </w:trPr>
        <w:tc>
          <w:tcPr>
            <w:tcW w:w="939" w:type="dxa"/>
            <w:shd w:val="clear" w:color="auto" w:fill="auto"/>
            <w:hideMark/>
          </w:tcPr>
          <w:p w14:paraId="662772FE" w14:textId="77777777" w:rsidR="009164C6" w:rsidRPr="00781608" w:rsidRDefault="009164C6" w:rsidP="00E85684">
            <w:pPr>
              <w:spacing w:line="276" w:lineRule="auto"/>
              <w:jc w:val="center"/>
              <w:rPr>
                <w:rFonts w:asciiTheme="minorHAnsi" w:eastAsia="Times New Roman" w:hAnsiTheme="minorHAnsi" w:cstheme="minorHAnsi"/>
              </w:rPr>
            </w:pPr>
            <w:r w:rsidRPr="00781608">
              <w:rPr>
                <w:rFonts w:asciiTheme="minorHAnsi" w:hAnsiTheme="minorHAnsi" w:cstheme="minorHAnsi"/>
              </w:rPr>
              <w:t>2</w:t>
            </w:r>
          </w:p>
        </w:tc>
        <w:tc>
          <w:tcPr>
            <w:tcW w:w="2079" w:type="dxa"/>
            <w:shd w:val="clear" w:color="auto" w:fill="auto"/>
            <w:noWrap/>
          </w:tcPr>
          <w:p w14:paraId="12737263" w14:textId="77777777" w:rsidR="009164C6" w:rsidRPr="00781608" w:rsidRDefault="009164C6" w:rsidP="00E85684">
            <w:pPr>
              <w:spacing w:line="276" w:lineRule="auto"/>
              <w:rPr>
                <w:rFonts w:asciiTheme="minorHAnsi" w:eastAsia="Times New Roman" w:hAnsiTheme="minorHAnsi" w:cstheme="minorHAnsi"/>
              </w:rPr>
            </w:pPr>
            <w:proofErr w:type="spellStart"/>
            <w:r w:rsidRPr="00781608">
              <w:rPr>
                <w:rFonts w:asciiTheme="minorHAnsi" w:eastAsia="Times New Roman" w:hAnsiTheme="minorHAnsi" w:cstheme="minorHAnsi"/>
              </w:rPr>
              <w:t>Kahalgaon</w:t>
            </w:r>
            <w:proofErr w:type="spellEnd"/>
            <w:r w:rsidRPr="00781608">
              <w:rPr>
                <w:rFonts w:asciiTheme="minorHAnsi" w:eastAsia="Times New Roman" w:hAnsiTheme="minorHAnsi" w:cstheme="minorHAnsi"/>
              </w:rPr>
              <w:t xml:space="preserve"> I</w:t>
            </w:r>
          </w:p>
        </w:tc>
        <w:tc>
          <w:tcPr>
            <w:tcW w:w="3928" w:type="dxa"/>
            <w:vMerge/>
            <w:shd w:val="clear" w:color="auto" w:fill="auto"/>
            <w:noWrap/>
          </w:tcPr>
          <w:p w14:paraId="71F7F9F5" w14:textId="77777777" w:rsidR="009164C6" w:rsidRPr="00781608" w:rsidRDefault="009164C6" w:rsidP="00E85684">
            <w:pPr>
              <w:spacing w:line="276" w:lineRule="auto"/>
              <w:jc w:val="both"/>
              <w:rPr>
                <w:rFonts w:asciiTheme="minorHAnsi" w:eastAsia="Times New Roman" w:hAnsiTheme="minorHAnsi" w:cstheme="minorHAnsi"/>
              </w:rPr>
            </w:pPr>
          </w:p>
        </w:tc>
      </w:tr>
      <w:tr w:rsidR="009164C6" w:rsidRPr="00781608" w14:paraId="3C8A5DAE" w14:textId="77777777" w:rsidTr="009164C6">
        <w:trPr>
          <w:trHeight w:val="300"/>
        </w:trPr>
        <w:tc>
          <w:tcPr>
            <w:tcW w:w="939" w:type="dxa"/>
            <w:shd w:val="clear" w:color="auto" w:fill="auto"/>
          </w:tcPr>
          <w:p w14:paraId="307A1A29" w14:textId="77777777" w:rsidR="009164C6" w:rsidRPr="00781608" w:rsidRDefault="009164C6" w:rsidP="00E85684">
            <w:pPr>
              <w:spacing w:line="276" w:lineRule="auto"/>
              <w:jc w:val="center"/>
              <w:rPr>
                <w:rFonts w:asciiTheme="minorHAnsi" w:eastAsia="Times New Roman" w:hAnsiTheme="minorHAnsi" w:cstheme="minorHAnsi"/>
              </w:rPr>
            </w:pPr>
            <w:r w:rsidRPr="00781608">
              <w:rPr>
                <w:rFonts w:asciiTheme="minorHAnsi" w:hAnsiTheme="minorHAnsi" w:cstheme="minorHAnsi"/>
              </w:rPr>
              <w:t>3</w:t>
            </w:r>
          </w:p>
        </w:tc>
        <w:tc>
          <w:tcPr>
            <w:tcW w:w="2079" w:type="dxa"/>
            <w:shd w:val="clear" w:color="auto" w:fill="auto"/>
            <w:noWrap/>
          </w:tcPr>
          <w:p w14:paraId="574A6651" w14:textId="77777777" w:rsidR="009164C6" w:rsidRPr="00781608" w:rsidRDefault="009164C6" w:rsidP="00E85684">
            <w:pPr>
              <w:spacing w:line="276" w:lineRule="auto"/>
              <w:rPr>
                <w:rFonts w:asciiTheme="minorHAnsi" w:eastAsia="Times New Roman" w:hAnsiTheme="minorHAnsi" w:cstheme="minorHAnsi"/>
              </w:rPr>
            </w:pPr>
            <w:proofErr w:type="spellStart"/>
            <w:r w:rsidRPr="00781608">
              <w:rPr>
                <w:rFonts w:asciiTheme="minorHAnsi" w:eastAsia="Times New Roman" w:hAnsiTheme="minorHAnsi" w:cstheme="minorHAnsi"/>
              </w:rPr>
              <w:t>Farakka</w:t>
            </w:r>
            <w:proofErr w:type="spellEnd"/>
            <w:r w:rsidRPr="00781608">
              <w:rPr>
                <w:rFonts w:asciiTheme="minorHAnsi" w:eastAsia="Times New Roman" w:hAnsiTheme="minorHAnsi" w:cstheme="minorHAnsi"/>
              </w:rPr>
              <w:t xml:space="preserve"> I &amp; II</w:t>
            </w:r>
          </w:p>
        </w:tc>
        <w:tc>
          <w:tcPr>
            <w:tcW w:w="3928" w:type="dxa"/>
            <w:vMerge/>
            <w:shd w:val="clear" w:color="auto" w:fill="auto"/>
            <w:noWrap/>
          </w:tcPr>
          <w:p w14:paraId="5C441FF2" w14:textId="77777777" w:rsidR="009164C6" w:rsidRPr="00781608" w:rsidRDefault="009164C6" w:rsidP="00E85684">
            <w:pPr>
              <w:spacing w:line="276" w:lineRule="auto"/>
              <w:jc w:val="both"/>
              <w:rPr>
                <w:rFonts w:asciiTheme="minorHAnsi" w:eastAsia="Times New Roman" w:hAnsiTheme="minorHAnsi" w:cstheme="minorHAnsi"/>
              </w:rPr>
            </w:pPr>
          </w:p>
        </w:tc>
      </w:tr>
      <w:tr w:rsidR="009164C6" w:rsidRPr="00781608" w14:paraId="3B187523" w14:textId="77777777" w:rsidTr="009164C6">
        <w:trPr>
          <w:trHeight w:val="300"/>
        </w:trPr>
        <w:tc>
          <w:tcPr>
            <w:tcW w:w="939" w:type="dxa"/>
            <w:shd w:val="clear" w:color="auto" w:fill="auto"/>
          </w:tcPr>
          <w:p w14:paraId="2338C317" w14:textId="77777777" w:rsidR="009164C6" w:rsidRPr="00781608" w:rsidRDefault="009164C6" w:rsidP="00E85684">
            <w:pPr>
              <w:spacing w:line="276" w:lineRule="auto"/>
              <w:jc w:val="center"/>
              <w:rPr>
                <w:rFonts w:asciiTheme="minorHAnsi" w:eastAsia="Times New Roman" w:hAnsiTheme="minorHAnsi" w:cstheme="minorHAnsi"/>
              </w:rPr>
            </w:pPr>
            <w:r w:rsidRPr="00781608">
              <w:rPr>
                <w:rFonts w:asciiTheme="minorHAnsi" w:hAnsiTheme="minorHAnsi" w:cstheme="minorHAnsi"/>
              </w:rPr>
              <w:t>4</w:t>
            </w:r>
          </w:p>
        </w:tc>
        <w:tc>
          <w:tcPr>
            <w:tcW w:w="2079" w:type="dxa"/>
            <w:shd w:val="clear" w:color="auto" w:fill="auto"/>
            <w:noWrap/>
          </w:tcPr>
          <w:p w14:paraId="53A10BE4" w14:textId="77777777" w:rsidR="009164C6" w:rsidRPr="00781608" w:rsidRDefault="009164C6" w:rsidP="00E85684">
            <w:pPr>
              <w:spacing w:line="276" w:lineRule="auto"/>
              <w:rPr>
                <w:rFonts w:asciiTheme="minorHAnsi" w:eastAsia="Times New Roman" w:hAnsiTheme="minorHAnsi" w:cstheme="minorHAnsi"/>
              </w:rPr>
            </w:pPr>
            <w:proofErr w:type="spellStart"/>
            <w:r w:rsidRPr="00781608">
              <w:rPr>
                <w:rFonts w:asciiTheme="minorHAnsi" w:eastAsia="Times New Roman" w:hAnsiTheme="minorHAnsi" w:cstheme="minorHAnsi"/>
              </w:rPr>
              <w:t>Unchahar</w:t>
            </w:r>
            <w:proofErr w:type="spellEnd"/>
            <w:r w:rsidRPr="00781608">
              <w:rPr>
                <w:rFonts w:asciiTheme="minorHAnsi" w:eastAsia="Times New Roman" w:hAnsiTheme="minorHAnsi" w:cstheme="minorHAnsi"/>
              </w:rPr>
              <w:t xml:space="preserve"> I</w:t>
            </w:r>
          </w:p>
        </w:tc>
        <w:tc>
          <w:tcPr>
            <w:tcW w:w="3928" w:type="dxa"/>
            <w:vMerge/>
            <w:shd w:val="clear" w:color="auto" w:fill="auto"/>
            <w:noWrap/>
          </w:tcPr>
          <w:p w14:paraId="64520F0E" w14:textId="77777777" w:rsidR="009164C6" w:rsidRPr="00781608" w:rsidRDefault="009164C6" w:rsidP="00E85684">
            <w:pPr>
              <w:spacing w:line="276" w:lineRule="auto"/>
              <w:jc w:val="both"/>
              <w:rPr>
                <w:rFonts w:asciiTheme="minorHAnsi" w:eastAsia="Times New Roman" w:hAnsiTheme="minorHAnsi" w:cstheme="minorHAnsi"/>
              </w:rPr>
            </w:pPr>
          </w:p>
        </w:tc>
      </w:tr>
      <w:tr w:rsidR="009164C6" w:rsidRPr="00781608" w14:paraId="5DECA817" w14:textId="77777777" w:rsidTr="009164C6">
        <w:trPr>
          <w:trHeight w:val="300"/>
        </w:trPr>
        <w:tc>
          <w:tcPr>
            <w:tcW w:w="939" w:type="dxa"/>
            <w:shd w:val="clear" w:color="auto" w:fill="auto"/>
          </w:tcPr>
          <w:p w14:paraId="34528C84" w14:textId="77777777" w:rsidR="009164C6" w:rsidRPr="00781608" w:rsidRDefault="009164C6" w:rsidP="00E85684">
            <w:pPr>
              <w:spacing w:line="276" w:lineRule="auto"/>
              <w:jc w:val="center"/>
              <w:rPr>
                <w:rFonts w:asciiTheme="minorHAnsi" w:hAnsiTheme="minorHAnsi" w:cstheme="minorHAnsi"/>
              </w:rPr>
            </w:pPr>
            <w:r w:rsidRPr="00781608">
              <w:rPr>
                <w:rFonts w:asciiTheme="minorHAnsi" w:hAnsiTheme="minorHAnsi" w:cstheme="minorHAnsi"/>
              </w:rPr>
              <w:t>5</w:t>
            </w:r>
          </w:p>
        </w:tc>
        <w:tc>
          <w:tcPr>
            <w:tcW w:w="2079" w:type="dxa"/>
            <w:shd w:val="clear" w:color="auto" w:fill="auto"/>
            <w:noWrap/>
          </w:tcPr>
          <w:p w14:paraId="5DE584C2" w14:textId="77777777" w:rsidR="009164C6" w:rsidRPr="00781608" w:rsidRDefault="009164C6" w:rsidP="00E85684">
            <w:pPr>
              <w:spacing w:line="276" w:lineRule="auto"/>
              <w:rPr>
                <w:rFonts w:asciiTheme="minorHAnsi" w:eastAsia="Times New Roman" w:hAnsiTheme="minorHAnsi" w:cstheme="minorHAnsi"/>
              </w:rPr>
            </w:pPr>
            <w:proofErr w:type="spellStart"/>
            <w:r w:rsidRPr="00781608">
              <w:rPr>
                <w:rFonts w:asciiTheme="minorHAnsi" w:eastAsia="Times New Roman" w:hAnsiTheme="minorHAnsi" w:cstheme="minorHAnsi"/>
              </w:rPr>
              <w:t>Farakka</w:t>
            </w:r>
            <w:proofErr w:type="spellEnd"/>
            <w:r w:rsidRPr="00781608">
              <w:rPr>
                <w:rFonts w:asciiTheme="minorHAnsi" w:eastAsia="Times New Roman" w:hAnsiTheme="minorHAnsi" w:cstheme="minorHAnsi"/>
              </w:rPr>
              <w:t xml:space="preserve"> III</w:t>
            </w:r>
          </w:p>
        </w:tc>
        <w:tc>
          <w:tcPr>
            <w:tcW w:w="3928" w:type="dxa"/>
            <w:vMerge/>
            <w:shd w:val="clear" w:color="auto" w:fill="auto"/>
            <w:noWrap/>
          </w:tcPr>
          <w:p w14:paraId="4922FA64" w14:textId="77777777" w:rsidR="009164C6" w:rsidRPr="00781608" w:rsidRDefault="009164C6" w:rsidP="00E85684">
            <w:pPr>
              <w:spacing w:line="276" w:lineRule="auto"/>
              <w:jc w:val="both"/>
              <w:rPr>
                <w:rFonts w:asciiTheme="minorHAnsi" w:eastAsia="Times New Roman" w:hAnsiTheme="minorHAnsi" w:cstheme="minorHAnsi"/>
              </w:rPr>
            </w:pPr>
          </w:p>
        </w:tc>
      </w:tr>
    </w:tbl>
    <w:p w14:paraId="5AF96B6C" w14:textId="77777777" w:rsidR="00D94A2A" w:rsidRPr="00781608" w:rsidRDefault="00D94A2A" w:rsidP="00E85684">
      <w:pPr>
        <w:pStyle w:val="ydp360db5b4yiv6248630976msolistparagraph"/>
        <w:spacing w:beforeAutospacing="0" w:after="200" w:afterAutospacing="0" w:line="276" w:lineRule="auto"/>
        <w:ind w:left="720"/>
        <w:jc w:val="both"/>
        <w:rPr>
          <w:rFonts w:asciiTheme="minorHAnsi" w:eastAsia="Times New Roman" w:hAnsiTheme="minorHAnsi" w:cstheme="minorHAnsi"/>
          <w:sz w:val="24"/>
          <w:szCs w:val="24"/>
        </w:rPr>
      </w:pPr>
    </w:p>
    <w:p w14:paraId="2D9AEBBF" w14:textId="77777777" w:rsidR="00A56DF7" w:rsidRPr="00781608" w:rsidRDefault="00A56DF7" w:rsidP="00E85684">
      <w:pPr>
        <w:pStyle w:val="ydp360db5b4yiv6248630976msolistparagraph"/>
        <w:numPr>
          <w:ilvl w:val="0"/>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 xml:space="preserve">UGVCL has submitted Annual Transmission Charges of GETCO as Rs. 4444 Crore (in Table 62) as per the Tariff Petition of GETCO for FY 2022-23. However, GETCO in its Tariff Petition has proposed Annual Transmission Charges as Rs. 5029.90 Crore for FY 2022-23. UGVCL should give clarification in this regard. </w:t>
      </w:r>
    </w:p>
    <w:p w14:paraId="2B52CC3D" w14:textId="77777777" w:rsidR="0093640B" w:rsidRPr="00781608" w:rsidRDefault="00836677" w:rsidP="00E85684">
      <w:pPr>
        <w:pStyle w:val="ydp360db5b4yiv6248630976msolistparagraph"/>
        <w:spacing w:beforeAutospacing="0" w:after="200" w:afterAutospacing="0" w:line="276" w:lineRule="auto"/>
        <w:ind w:left="720"/>
        <w:jc w:val="both"/>
        <w:rPr>
          <w:rFonts w:asciiTheme="minorHAnsi" w:eastAsia="Times New Roman" w:hAnsiTheme="minorHAnsi" w:cstheme="minorHAnsi"/>
          <w:sz w:val="24"/>
          <w:szCs w:val="24"/>
        </w:rPr>
      </w:pPr>
      <w:r w:rsidRPr="00781608">
        <w:rPr>
          <w:rFonts w:asciiTheme="minorHAnsi" w:eastAsia="Times New Roman" w:hAnsiTheme="minorHAnsi" w:cstheme="minorHAnsi"/>
          <w:b/>
          <w:bCs/>
          <w:sz w:val="24"/>
          <w:szCs w:val="24"/>
        </w:rPr>
        <w:t>Compliance</w:t>
      </w:r>
      <w:r w:rsidR="0093640B" w:rsidRPr="00781608">
        <w:rPr>
          <w:rFonts w:asciiTheme="minorHAnsi" w:eastAsia="Times New Roman" w:hAnsiTheme="minorHAnsi" w:cstheme="minorHAnsi"/>
          <w:b/>
          <w:bCs/>
          <w:sz w:val="24"/>
          <w:szCs w:val="24"/>
        </w:rPr>
        <w:t xml:space="preserve">: </w:t>
      </w:r>
      <w:r w:rsidR="0093640B" w:rsidRPr="00781608">
        <w:rPr>
          <w:rFonts w:asciiTheme="minorHAnsi" w:eastAsia="Times New Roman" w:hAnsiTheme="minorHAnsi" w:cstheme="minorHAnsi"/>
          <w:sz w:val="24"/>
          <w:szCs w:val="24"/>
        </w:rPr>
        <w:t xml:space="preserve">As submitted in the Petition, transmission charges are considered based on draft </w:t>
      </w:r>
      <w:r w:rsidR="003A005B" w:rsidRPr="00781608">
        <w:rPr>
          <w:rFonts w:asciiTheme="minorHAnsi" w:eastAsia="Times New Roman" w:hAnsiTheme="minorHAnsi" w:cstheme="minorHAnsi"/>
          <w:sz w:val="24"/>
          <w:szCs w:val="24"/>
        </w:rPr>
        <w:t>Petition</w:t>
      </w:r>
      <w:r w:rsidR="0093640B" w:rsidRPr="00781608">
        <w:rPr>
          <w:rFonts w:asciiTheme="minorHAnsi" w:eastAsia="Times New Roman" w:hAnsiTheme="minorHAnsi" w:cstheme="minorHAnsi"/>
          <w:sz w:val="24"/>
          <w:szCs w:val="24"/>
        </w:rPr>
        <w:t xml:space="preserve"> of GETCO as </w:t>
      </w:r>
      <w:r w:rsidR="003A005B" w:rsidRPr="00781608">
        <w:rPr>
          <w:rFonts w:asciiTheme="minorHAnsi" w:eastAsia="Times New Roman" w:hAnsiTheme="minorHAnsi" w:cstheme="minorHAnsi"/>
          <w:sz w:val="24"/>
          <w:szCs w:val="24"/>
        </w:rPr>
        <w:t xml:space="preserve">finalization of </w:t>
      </w:r>
      <w:r w:rsidR="0093640B" w:rsidRPr="00781608">
        <w:rPr>
          <w:rFonts w:asciiTheme="minorHAnsi" w:eastAsia="Times New Roman" w:hAnsiTheme="minorHAnsi" w:cstheme="minorHAnsi"/>
          <w:sz w:val="24"/>
          <w:szCs w:val="24"/>
        </w:rPr>
        <w:t xml:space="preserve">both </w:t>
      </w:r>
      <w:r w:rsidR="003A005B" w:rsidRPr="00781608">
        <w:rPr>
          <w:rFonts w:asciiTheme="minorHAnsi" w:eastAsia="Times New Roman" w:hAnsiTheme="minorHAnsi" w:cstheme="minorHAnsi"/>
          <w:sz w:val="24"/>
          <w:szCs w:val="24"/>
        </w:rPr>
        <w:t xml:space="preserve">the </w:t>
      </w:r>
      <w:r w:rsidR="0093640B" w:rsidRPr="00781608">
        <w:rPr>
          <w:rFonts w:asciiTheme="minorHAnsi" w:eastAsia="Times New Roman" w:hAnsiTheme="minorHAnsi" w:cstheme="minorHAnsi"/>
          <w:sz w:val="24"/>
          <w:szCs w:val="24"/>
        </w:rPr>
        <w:t>Petition</w:t>
      </w:r>
      <w:r w:rsidR="003A005B" w:rsidRPr="00781608">
        <w:rPr>
          <w:rFonts w:asciiTheme="minorHAnsi" w:eastAsia="Times New Roman" w:hAnsiTheme="minorHAnsi" w:cstheme="minorHAnsi"/>
          <w:sz w:val="24"/>
          <w:szCs w:val="24"/>
        </w:rPr>
        <w:t>s</w:t>
      </w:r>
      <w:r w:rsidR="0093640B" w:rsidRPr="00781608">
        <w:rPr>
          <w:rFonts w:asciiTheme="minorHAnsi" w:eastAsia="Times New Roman" w:hAnsiTheme="minorHAnsi" w:cstheme="minorHAnsi"/>
          <w:sz w:val="24"/>
          <w:szCs w:val="24"/>
        </w:rPr>
        <w:t xml:space="preserve"> w</w:t>
      </w:r>
      <w:r w:rsidR="003A005B" w:rsidRPr="00781608">
        <w:rPr>
          <w:rFonts w:asciiTheme="minorHAnsi" w:eastAsia="Times New Roman" w:hAnsiTheme="minorHAnsi" w:cstheme="minorHAnsi"/>
          <w:sz w:val="24"/>
          <w:szCs w:val="24"/>
        </w:rPr>
        <w:t>ere</w:t>
      </w:r>
      <w:r w:rsidR="0093640B" w:rsidRPr="00781608">
        <w:rPr>
          <w:rFonts w:asciiTheme="minorHAnsi" w:eastAsia="Times New Roman" w:hAnsiTheme="minorHAnsi" w:cstheme="minorHAnsi"/>
          <w:sz w:val="24"/>
          <w:szCs w:val="24"/>
        </w:rPr>
        <w:t xml:space="preserve"> going on in parallel. Based on draft working of GETCO ARR of Rs. </w:t>
      </w:r>
      <w:r w:rsidR="003A005B" w:rsidRPr="00781608">
        <w:rPr>
          <w:rFonts w:asciiTheme="minorHAnsi" w:eastAsia="Times New Roman" w:hAnsiTheme="minorHAnsi" w:cstheme="minorHAnsi"/>
          <w:sz w:val="24"/>
          <w:szCs w:val="24"/>
        </w:rPr>
        <w:t xml:space="preserve">4761.07 Crore, GETCO ARR cost allocation to GUVNL was assumed at 93.35% which works out to Rs. 4444 Crore. </w:t>
      </w:r>
    </w:p>
    <w:p w14:paraId="22720F70" w14:textId="77777777" w:rsidR="00A56DF7" w:rsidRPr="00781608" w:rsidRDefault="00A56DF7" w:rsidP="00E85684">
      <w:pPr>
        <w:pStyle w:val="ydp360db5b4yiv6248630976msolistparagraph"/>
        <w:numPr>
          <w:ilvl w:val="0"/>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 xml:space="preserve">UGVCL has submitted SLDC Charges of Rs. 23 Crore (in Table 62) as per the Tariff Petition of SLDC for FY 2022-23. However, SLDC in its Tariff Petition has proposed SLDC Charges as Rs. 29.69 Crore for FY 2022-23. UGVCL should give clarification in this regard. </w:t>
      </w:r>
    </w:p>
    <w:p w14:paraId="0CC6F5E9" w14:textId="77777777" w:rsidR="003A005B" w:rsidRPr="00781608" w:rsidRDefault="00836677" w:rsidP="00E85684">
      <w:pPr>
        <w:pStyle w:val="ydp360db5b4yiv6248630976msolistparagraph"/>
        <w:spacing w:beforeAutospacing="0" w:after="200" w:afterAutospacing="0" w:line="276" w:lineRule="auto"/>
        <w:ind w:left="720"/>
        <w:jc w:val="both"/>
        <w:rPr>
          <w:rFonts w:asciiTheme="minorHAnsi" w:eastAsia="Times New Roman" w:hAnsiTheme="minorHAnsi" w:cstheme="minorHAnsi"/>
          <w:sz w:val="24"/>
          <w:szCs w:val="24"/>
        </w:rPr>
      </w:pPr>
      <w:r w:rsidRPr="00781608">
        <w:rPr>
          <w:rFonts w:asciiTheme="minorHAnsi" w:eastAsia="Times New Roman" w:hAnsiTheme="minorHAnsi" w:cstheme="minorHAnsi"/>
          <w:b/>
          <w:bCs/>
          <w:sz w:val="24"/>
          <w:szCs w:val="24"/>
        </w:rPr>
        <w:t>Compliance</w:t>
      </w:r>
      <w:r w:rsidR="003A005B" w:rsidRPr="00781608">
        <w:rPr>
          <w:rFonts w:asciiTheme="minorHAnsi" w:eastAsia="Times New Roman" w:hAnsiTheme="minorHAnsi" w:cstheme="minorHAnsi"/>
          <w:b/>
          <w:bCs/>
          <w:sz w:val="24"/>
          <w:szCs w:val="24"/>
        </w:rPr>
        <w:t xml:space="preserve">: </w:t>
      </w:r>
      <w:r w:rsidR="003A005B" w:rsidRPr="00781608">
        <w:rPr>
          <w:rFonts w:asciiTheme="minorHAnsi" w:eastAsia="Times New Roman" w:hAnsiTheme="minorHAnsi" w:cstheme="minorHAnsi"/>
          <w:sz w:val="24"/>
          <w:szCs w:val="24"/>
        </w:rPr>
        <w:t xml:space="preserve">As submitted in the Petition, SLDC charges are considered based on draft Petition of SLDC as finalization of both the Petitions were going on in parallel. Based on draft working of SLDC ARR of Rs. </w:t>
      </w:r>
      <w:r w:rsidR="00B94F39" w:rsidRPr="00781608">
        <w:rPr>
          <w:rFonts w:asciiTheme="minorHAnsi" w:eastAsia="Times New Roman" w:hAnsiTheme="minorHAnsi" w:cstheme="minorHAnsi"/>
          <w:sz w:val="24"/>
          <w:szCs w:val="24"/>
        </w:rPr>
        <w:t>24.52</w:t>
      </w:r>
      <w:r w:rsidR="003A005B" w:rsidRPr="00781608">
        <w:rPr>
          <w:rFonts w:asciiTheme="minorHAnsi" w:eastAsia="Times New Roman" w:hAnsiTheme="minorHAnsi" w:cstheme="minorHAnsi"/>
          <w:sz w:val="24"/>
          <w:szCs w:val="24"/>
        </w:rPr>
        <w:t xml:space="preserve"> Crore, </w:t>
      </w:r>
      <w:r w:rsidR="00B94F39" w:rsidRPr="00781608">
        <w:rPr>
          <w:rFonts w:asciiTheme="minorHAnsi" w:eastAsia="Times New Roman" w:hAnsiTheme="minorHAnsi" w:cstheme="minorHAnsi"/>
          <w:sz w:val="24"/>
          <w:szCs w:val="24"/>
        </w:rPr>
        <w:t>SLDC</w:t>
      </w:r>
      <w:r w:rsidR="003A005B" w:rsidRPr="00781608">
        <w:rPr>
          <w:rFonts w:asciiTheme="minorHAnsi" w:eastAsia="Times New Roman" w:hAnsiTheme="minorHAnsi" w:cstheme="minorHAnsi"/>
          <w:sz w:val="24"/>
          <w:szCs w:val="24"/>
        </w:rPr>
        <w:t xml:space="preserve"> ARR cost allocation to GUVNL was assumed at 93.35% which works out to Rs. </w:t>
      </w:r>
      <w:r w:rsidR="00B94F39" w:rsidRPr="00781608">
        <w:rPr>
          <w:rFonts w:asciiTheme="minorHAnsi" w:eastAsia="Times New Roman" w:hAnsiTheme="minorHAnsi" w:cstheme="minorHAnsi"/>
          <w:sz w:val="24"/>
          <w:szCs w:val="24"/>
        </w:rPr>
        <w:t>23</w:t>
      </w:r>
      <w:r w:rsidR="003A005B" w:rsidRPr="00781608">
        <w:rPr>
          <w:rFonts w:asciiTheme="minorHAnsi" w:eastAsia="Times New Roman" w:hAnsiTheme="minorHAnsi" w:cstheme="minorHAnsi"/>
          <w:sz w:val="24"/>
          <w:szCs w:val="24"/>
        </w:rPr>
        <w:t xml:space="preserve"> Crore. </w:t>
      </w:r>
    </w:p>
    <w:p w14:paraId="47D4A44A" w14:textId="77777777" w:rsidR="00A56DF7" w:rsidRPr="00781608" w:rsidRDefault="00A56DF7" w:rsidP="00E85684">
      <w:pPr>
        <w:pStyle w:val="ydp360db5b4yiv6248630976msolistparagraph"/>
        <w:numPr>
          <w:ilvl w:val="0"/>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 xml:space="preserve">Energy Dispatch, Fixed charges, variable </w:t>
      </w:r>
      <w:proofErr w:type="gramStart"/>
      <w:r w:rsidRPr="00781608">
        <w:rPr>
          <w:rFonts w:asciiTheme="minorHAnsi" w:eastAsia="Times New Roman" w:hAnsiTheme="minorHAnsi" w:cstheme="minorHAnsi"/>
          <w:sz w:val="24"/>
          <w:szCs w:val="24"/>
        </w:rPr>
        <w:t>cost</w:t>
      </w:r>
      <w:proofErr w:type="gramEnd"/>
      <w:r w:rsidRPr="00781608">
        <w:rPr>
          <w:rFonts w:asciiTheme="minorHAnsi" w:eastAsia="Times New Roman" w:hAnsiTheme="minorHAnsi" w:cstheme="minorHAnsi"/>
          <w:sz w:val="24"/>
          <w:szCs w:val="24"/>
        </w:rPr>
        <w:t xml:space="preserve"> and total power purchase cost submitted in Table 61 and Table 66 of Petition for FY 2022-23 are not matching with the Energy received, Fixed charges, variable cost and total power purchase cost submitted in Form F2 of UGVCL Formats. UGVCL should reconcile the numbers. </w:t>
      </w:r>
    </w:p>
    <w:p w14:paraId="43AF9103" w14:textId="59F5309D" w:rsidR="00D14D9A" w:rsidRPr="00781608" w:rsidRDefault="00836677" w:rsidP="00E85684">
      <w:pPr>
        <w:pStyle w:val="ydp360db5b4yiv6248630976msolistparagraph"/>
        <w:spacing w:beforeAutospacing="0" w:after="200" w:afterAutospacing="0" w:line="276" w:lineRule="auto"/>
        <w:ind w:left="720"/>
        <w:jc w:val="both"/>
        <w:rPr>
          <w:rFonts w:asciiTheme="minorHAnsi" w:eastAsia="Times New Roman" w:hAnsiTheme="minorHAnsi" w:cstheme="minorHAnsi"/>
          <w:sz w:val="24"/>
          <w:szCs w:val="24"/>
        </w:rPr>
      </w:pPr>
      <w:r w:rsidRPr="00781608">
        <w:rPr>
          <w:rFonts w:asciiTheme="minorHAnsi" w:eastAsia="Times New Roman" w:hAnsiTheme="minorHAnsi" w:cstheme="minorHAnsi"/>
          <w:b/>
          <w:bCs/>
          <w:sz w:val="24"/>
          <w:szCs w:val="24"/>
        </w:rPr>
        <w:t>Compliance</w:t>
      </w:r>
      <w:r w:rsidR="00D14D9A" w:rsidRPr="00781608">
        <w:rPr>
          <w:rFonts w:asciiTheme="minorHAnsi" w:eastAsia="Times New Roman" w:hAnsiTheme="minorHAnsi" w:cstheme="minorHAnsi"/>
          <w:b/>
          <w:bCs/>
          <w:sz w:val="24"/>
          <w:szCs w:val="24"/>
        </w:rPr>
        <w:t xml:space="preserve">: </w:t>
      </w:r>
      <w:r w:rsidR="00D30F5E" w:rsidRPr="00781608">
        <w:rPr>
          <w:rFonts w:asciiTheme="minorHAnsi" w:eastAsia="Times New Roman" w:hAnsiTheme="minorHAnsi" w:cstheme="minorHAnsi"/>
          <w:sz w:val="24"/>
          <w:szCs w:val="24"/>
        </w:rPr>
        <w:t xml:space="preserve">It is to submit that Form 2 of Format also consider power purchase under SSDSP scheme over and above power purchase from GUVNL (details worked out in table 61 and table 66). In Form 2, GUVNL trading charges are inadvertently shown as part of fixed cost in place of variable cost. Reconciliation of energy dispatch, fixed charges, variable </w:t>
      </w:r>
      <w:proofErr w:type="gramStart"/>
      <w:r w:rsidR="00D30F5E" w:rsidRPr="00781608">
        <w:rPr>
          <w:rFonts w:asciiTheme="minorHAnsi" w:eastAsia="Times New Roman" w:hAnsiTheme="minorHAnsi" w:cstheme="minorHAnsi"/>
          <w:sz w:val="24"/>
          <w:szCs w:val="24"/>
        </w:rPr>
        <w:t>cost</w:t>
      </w:r>
      <w:proofErr w:type="gramEnd"/>
      <w:r w:rsidR="00D30F5E" w:rsidRPr="00781608">
        <w:rPr>
          <w:rFonts w:asciiTheme="minorHAnsi" w:eastAsia="Times New Roman" w:hAnsiTheme="minorHAnsi" w:cstheme="minorHAnsi"/>
          <w:sz w:val="24"/>
          <w:szCs w:val="24"/>
        </w:rPr>
        <w:t xml:space="preserve"> and total power purchase cost is as under:</w:t>
      </w:r>
    </w:p>
    <w:tbl>
      <w:tblPr>
        <w:tblW w:w="831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327"/>
        <w:gridCol w:w="1327"/>
        <w:gridCol w:w="1446"/>
        <w:gridCol w:w="1224"/>
      </w:tblGrid>
      <w:tr w:rsidR="003C247B" w:rsidRPr="00781608" w14:paraId="1D384784" w14:textId="77777777" w:rsidTr="00D30F5E">
        <w:trPr>
          <w:trHeight w:val="300"/>
          <w:tblHeader/>
        </w:trPr>
        <w:tc>
          <w:tcPr>
            <w:tcW w:w="2988" w:type="dxa"/>
            <w:shd w:val="clear" w:color="000000" w:fill="DDEBF7"/>
            <w:noWrap/>
            <w:hideMark/>
          </w:tcPr>
          <w:p w14:paraId="415AE9AB" w14:textId="77777777" w:rsidR="00D35E4E" w:rsidRPr="00781608" w:rsidRDefault="00D35E4E" w:rsidP="00616886">
            <w:pPr>
              <w:spacing w:line="276" w:lineRule="auto"/>
              <w:jc w:val="center"/>
              <w:rPr>
                <w:rFonts w:asciiTheme="minorHAnsi" w:eastAsia="Times New Roman" w:hAnsiTheme="minorHAnsi" w:cstheme="minorHAnsi"/>
                <w:b/>
                <w:bCs/>
              </w:rPr>
            </w:pPr>
            <w:r w:rsidRPr="00781608">
              <w:rPr>
                <w:rFonts w:asciiTheme="minorHAnsi" w:eastAsia="Times New Roman" w:hAnsiTheme="minorHAnsi" w:cstheme="minorHAnsi"/>
                <w:b/>
                <w:bCs/>
              </w:rPr>
              <w:t>Particular</w:t>
            </w:r>
          </w:p>
        </w:tc>
        <w:tc>
          <w:tcPr>
            <w:tcW w:w="1327" w:type="dxa"/>
            <w:shd w:val="clear" w:color="000000" w:fill="DDEBF7"/>
            <w:hideMark/>
          </w:tcPr>
          <w:p w14:paraId="57C32D32" w14:textId="77777777" w:rsidR="00D35E4E" w:rsidRPr="00781608" w:rsidRDefault="00D35E4E" w:rsidP="00616886">
            <w:pPr>
              <w:spacing w:line="276" w:lineRule="auto"/>
              <w:jc w:val="center"/>
              <w:rPr>
                <w:rFonts w:asciiTheme="minorHAnsi" w:eastAsia="Times New Roman" w:hAnsiTheme="minorHAnsi" w:cstheme="minorHAnsi"/>
                <w:b/>
                <w:bCs/>
              </w:rPr>
            </w:pPr>
            <w:r w:rsidRPr="00781608">
              <w:rPr>
                <w:rFonts w:asciiTheme="minorHAnsi" w:eastAsia="Times New Roman" w:hAnsiTheme="minorHAnsi" w:cstheme="minorHAnsi"/>
                <w:b/>
                <w:bCs/>
              </w:rPr>
              <w:t>Energy Dispatch (MU)</w:t>
            </w:r>
          </w:p>
        </w:tc>
        <w:tc>
          <w:tcPr>
            <w:tcW w:w="1327" w:type="dxa"/>
            <w:shd w:val="clear" w:color="000000" w:fill="DDEBF7"/>
            <w:hideMark/>
          </w:tcPr>
          <w:p w14:paraId="75A9BC77" w14:textId="77777777" w:rsidR="00D35E4E" w:rsidRPr="00781608" w:rsidRDefault="00D35E4E" w:rsidP="00616886">
            <w:pPr>
              <w:spacing w:line="276" w:lineRule="auto"/>
              <w:jc w:val="center"/>
              <w:rPr>
                <w:rFonts w:asciiTheme="minorHAnsi" w:eastAsia="Times New Roman" w:hAnsiTheme="minorHAnsi" w:cstheme="minorHAnsi"/>
                <w:b/>
                <w:bCs/>
              </w:rPr>
            </w:pPr>
            <w:r w:rsidRPr="00781608">
              <w:rPr>
                <w:rFonts w:asciiTheme="minorHAnsi" w:eastAsia="Times New Roman" w:hAnsiTheme="minorHAnsi" w:cstheme="minorHAnsi"/>
                <w:b/>
                <w:bCs/>
              </w:rPr>
              <w:t>Fixed Cost (Rs. Crore)</w:t>
            </w:r>
          </w:p>
        </w:tc>
        <w:tc>
          <w:tcPr>
            <w:tcW w:w="1446" w:type="dxa"/>
            <w:shd w:val="clear" w:color="000000" w:fill="DDEBF7"/>
            <w:hideMark/>
          </w:tcPr>
          <w:p w14:paraId="0BB01140" w14:textId="77777777" w:rsidR="00D35E4E" w:rsidRPr="00781608" w:rsidRDefault="00D35E4E" w:rsidP="00616886">
            <w:pPr>
              <w:spacing w:line="276" w:lineRule="auto"/>
              <w:jc w:val="center"/>
              <w:rPr>
                <w:rFonts w:asciiTheme="minorHAnsi" w:eastAsia="Times New Roman" w:hAnsiTheme="minorHAnsi" w:cstheme="minorHAnsi"/>
                <w:b/>
                <w:bCs/>
              </w:rPr>
            </w:pPr>
            <w:r w:rsidRPr="00781608">
              <w:rPr>
                <w:rFonts w:asciiTheme="minorHAnsi" w:eastAsia="Times New Roman" w:hAnsiTheme="minorHAnsi" w:cstheme="minorHAnsi"/>
                <w:b/>
                <w:bCs/>
              </w:rPr>
              <w:t>Variable Cost (Rs. Crore)</w:t>
            </w:r>
          </w:p>
        </w:tc>
        <w:tc>
          <w:tcPr>
            <w:tcW w:w="1224" w:type="dxa"/>
            <w:shd w:val="clear" w:color="000000" w:fill="DDEBF7"/>
          </w:tcPr>
          <w:p w14:paraId="7C928D01" w14:textId="77777777" w:rsidR="00D35E4E" w:rsidRPr="00781608" w:rsidRDefault="00D35E4E" w:rsidP="00616886">
            <w:pPr>
              <w:spacing w:line="276" w:lineRule="auto"/>
              <w:jc w:val="center"/>
              <w:rPr>
                <w:rFonts w:asciiTheme="minorHAnsi" w:eastAsia="Times New Roman" w:hAnsiTheme="minorHAnsi" w:cstheme="minorHAnsi"/>
                <w:b/>
                <w:bCs/>
              </w:rPr>
            </w:pPr>
            <w:r w:rsidRPr="00781608">
              <w:rPr>
                <w:rFonts w:asciiTheme="minorHAnsi" w:eastAsia="Times New Roman" w:hAnsiTheme="minorHAnsi" w:cstheme="minorHAnsi"/>
                <w:b/>
                <w:bCs/>
              </w:rPr>
              <w:t>Total Cost (Rs. Crore)</w:t>
            </w:r>
          </w:p>
        </w:tc>
      </w:tr>
      <w:tr w:rsidR="003C247B" w:rsidRPr="00781608" w14:paraId="4216C1A3" w14:textId="77777777" w:rsidTr="00D35E4E">
        <w:trPr>
          <w:trHeight w:val="300"/>
        </w:trPr>
        <w:tc>
          <w:tcPr>
            <w:tcW w:w="2988" w:type="dxa"/>
            <w:shd w:val="clear" w:color="auto" w:fill="auto"/>
            <w:hideMark/>
          </w:tcPr>
          <w:p w14:paraId="131C5904" w14:textId="77777777" w:rsidR="00D35E4E" w:rsidRPr="00781608" w:rsidRDefault="00D35E4E"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Power Purchase from GUVNL (</w:t>
            </w:r>
            <w:r w:rsidR="002E041C" w:rsidRPr="00781608">
              <w:rPr>
                <w:rFonts w:asciiTheme="minorHAnsi" w:eastAsia="Times New Roman" w:hAnsiTheme="minorHAnsi" w:cstheme="minorHAnsi"/>
              </w:rPr>
              <w:t>D</w:t>
            </w:r>
            <w:r w:rsidRPr="00781608">
              <w:rPr>
                <w:rFonts w:asciiTheme="minorHAnsi" w:eastAsia="Times New Roman" w:hAnsiTheme="minorHAnsi" w:cstheme="minorHAnsi"/>
              </w:rPr>
              <w:t>etails provided in Table 61 &amp; 66)</w:t>
            </w:r>
          </w:p>
        </w:tc>
        <w:tc>
          <w:tcPr>
            <w:tcW w:w="1327" w:type="dxa"/>
            <w:shd w:val="clear" w:color="auto" w:fill="auto"/>
            <w:noWrap/>
          </w:tcPr>
          <w:p w14:paraId="418F9B8F" w14:textId="77777777" w:rsidR="00D35E4E" w:rsidRPr="00781608" w:rsidRDefault="002E041C"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1,09,546</w:t>
            </w:r>
          </w:p>
        </w:tc>
        <w:tc>
          <w:tcPr>
            <w:tcW w:w="1327" w:type="dxa"/>
            <w:shd w:val="clear" w:color="auto" w:fill="auto"/>
            <w:noWrap/>
          </w:tcPr>
          <w:p w14:paraId="3D4FA420" w14:textId="77777777" w:rsidR="00D35E4E" w:rsidRPr="00781608" w:rsidRDefault="00A54A63"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20,547</w:t>
            </w:r>
          </w:p>
        </w:tc>
        <w:tc>
          <w:tcPr>
            <w:tcW w:w="1446" w:type="dxa"/>
            <w:shd w:val="clear" w:color="auto" w:fill="auto"/>
            <w:noWrap/>
          </w:tcPr>
          <w:p w14:paraId="33583E09" w14:textId="77777777" w:rsidR="00D35E4E" w:rsidRPr="00781608" w:rsidRDefault="00A54A63"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28,639</w:t>
            </w:r>
          </w:p>
        </w:tc>
        <w:tc>
          <w:tcPr>
            <w:tcW w:w="1224" w:type="dxa"/>
          </w:tcPr>
          <w:p w14:paraId="5B50B403" w14:textId="77777777" w:rsidR="00D35E4E" w:rsidRPr="00781608" w:rsidRDefault="00A54A63"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49,186</w:t>
            </w:r>
          </w:p>
        </w:tc>
      </w:tr>
      <w:tr w:rsidR="003C247B" w:rsidRPr="00781608" w14:paraId="5A8511EE" w14:textId="77777777" w:rsidTr="00D35E4E">
        <w:trPr>
          <w:trHeight w:val="300"/>
        </w:trPr>
        <w:tc>
          <w:tcPr>
            <w:tcW w:w="2988" w:type="dxa"/>
            <w:shd w:val="clear" w:color="auto" w:fill="auto"/>
            <w:hideMark/>
          </w:tcPr>
          <w:p w14:paraId="7E0F6F4A" w14:textId="77777777" w:rsidR="00D35E4E" w:rsidRPr="00781608" w:rsidRDefault="00D35E4E"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Power Purchase from SSDSP</w:t>
            </w:r>
          </w:p>
        </w:tc>
        <w:tc>
          <w:tcPr>
            <w:tcW w:w="1327" w:type="dxa"/>
            <w:shd w:val="clear" w:color="auto" w:fill="auto"/>
            <w:noWrap/>
          </w:tcPr>
          <w:p w14:paraId="312D6B5C" w14:textId="77777777" w:rsidR="00D35E4E" w:rsidRPr="00781608" w:rsidRDefault="002E041C"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829</w:t>
            </w:r>
          </w:p>
        </w:tc>
        <w:tc>
          <w:tcPr>
            <w:tcW w:w="1327" w:type="dxa"/>
            <w:shd w:val="clear" w:color="auto" w:fill="auto"/>
            <w:noWrap/>
          </w:tcPr>
          <w:p w14:paraId="367C7D77" w14:textId="77777777" w:rsidR="00D35E4E" w:rsidRPr="00781608" w:rsidRDefault="00A54A63"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w:t>
            </w:r>
          </w:p>
        </w:tc>
        <w:tc>
          <w:tcPr>
            <w:tcW w:w="1446" w:type="dxa"/>
            <w:shd w:val="clear" w:color="auto" w:fill="auto"/>
            <w:noWrap/>
          </w:tcPr>
          <w:p w14:paraId="60E61E49" w14:textId="77777777" w:rsidR="00D35E4E" w:rsidRPr="00781608" w:rsidRDefault="00A54A63"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235</w:t>
            </w:r>
          </w:p>
        </w:tc>
        <w:tc>
          <w:tcPr>
            <w:tcW w:w="1224" w:type="dxa"/>
          </w:tcPr>
          <w:p w14:paraId="7724D179" w14:textId="77777777" w:rsidR="00D35E4E" w:rsidRPr="00781608" w:rsidRDefault="00A54A63"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235</w:t>
            </w:r>
          </w:p>
        </w:tc>
      </w:tr>
      <w:tr w:rsidR="003C247B" w:rsidRPr="00781608" w14:paraId="756F98F6" w14:textId="77777777" w:rsidTr="00D35E4E">
        <w:trPr>
          <w:trHeight w:val="300"/>
        </w:trPr>
        <w:tc>
          <w:tcPr>
            <w:tcW w:w="2988" w:type="dxa"/>
            <w:shd w:val="clear" w:color="auto" w:fill="auto"/>
          </w:tcPr>
          <w:p w14:paraId="3E0DC4C8" w14:textId="77777777" w:rsidR="00D35E4E" w:rsidRPr="00781608" w:rsidRDefault="002E041C"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Less: GUVNL Trading Cost from Variable Cost</w:t>
            </w:r>
          </w:p>
        </w:tc>
        <w:tc>
          <w:tcPr>
            <w:tcW w:w="1327" w:type="dxa"/>
            <w:shd w:val="clear" w:color="auto" w:fill="auto"/>
            <w:noWrap/>
          </w:tcPr>
          <w:p w14:paraId="31430705" w14:textId="77777777" w:rsidR="00D35E4E" w:rsidRPr="00781608" w:rsidRDefault="00A54A63"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w:t>
            </w:r>
          </w:p>
        </w:tc>
        <w:tc>
          <w:tcPr>
            <w:tcW w:w="1327" w:type="dxa"/>
            <w:shd w:val="clear" w:color="auto" w:fill="auto"/>
            <w:noWrap/>
          </w:tcPr>
          <w:p w14:paraId="737126E7" w14:textId="77777777" w:rsidR="00D35E4E" w:rsidRPr="00781608" w:rsidRDefault="00A54A63"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w:t>
            </w:r>
          </w:p>
        </w:tc>
        <w:tc>
          <w:tcPr>
            <w:tcW w:w="1446" w:type="dxa"/>
            <w:shd w:val="clear" w:color="auto" w:fill="auto"/>
            <w:noWrap/>
          </w:tcPr>
          <w:p w14:paraId="56EE4ED2" w14:textId="77777777" w:rsidR="00D35E4E" w:rsidRPr="00781608" w:rsidRDefault="00A54A63"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438</w:t>
            </w:r>
          </w:p>
        </w:tc>
        <w:tc>
          <w:tcPr>
            <w:tcW w:w="1224" w:type="dxa"/>
          </w:tcPr>
          <w:p w14:paraId="0F52C581" w14:textId="77777777" w:rsidR="00D35E4E" w:rsidRPr="00781608" w:rsidRDefault="00A54A63"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w:t>
            </w:r>
          </w:p>
        </w:tc>
      </w:tr>
      <w:tr w:rsidR="003C247B" w:rsidRPr="00781608" w14:paraId="6DBBC856" w14:textId="77777777" w:rsidTr="00D35E4E">
        <w:trPr>
          <w:trHeight w:val="300"/>
        </w:trPr>
        <w:tc>
          <w:tcPr>
            <w:tcW w:w="2988" w:type="dxa"/>
            <w:shd w:val="clear" w:color="auto" w:fill="auto"/>
          </w:tcPr>
          <w:p w14:paraId="554C10EC" w14:textId="77777777" w:rsidR="002E041C" w:rsidRPr="00781608" w:rsidRDefault="002E041C" w:rsidP="00E85684">
            <w:pPr>
              <w:spacing w:line="276" w:lineRule="auto"/>
              <w:rPr>
                <w:rFonts w:asciiTheme="minorHAnsi" w:eastAsia="Times New Roman" w:hAnsiTheme="minorHAnsi" w:cstheme="minorHAnsi"/>
              </w:rPr>
            </w:pPr>
            <w:r w:rsidRPr="00781608">
              <w:rPr>
                <w:rFonts w:asciiTheme="minorHAnsi" w:eastAsia="Times New Roman" w:hAnsiTheme="minorHAnsi" w:cstheme="minorHAnsi"/>
              </w:rPr>
              <w:t>Add: GUVNL Trading Cost to Fixed Cost</w:t>
            </w:r>
          </w:p>
        </w:tc>
        <w:tc>
          <w:tcPr>
            <w:tcW w:w="1327" w:type="dxa"/>
            <w:shd w:val="clear" w:color="auto" w:fill="auto"/>
            <w:noWrap/>
          </w:tcPr>
          <w:p w14:paraId="62321BCD" w14:textId="77777777" w:rsidR="002E041C" w:rsidRPr="00781608" w:rsidRDefault="00A54A63"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w:t>
            </w:r>
          </w:p>
        </w:tc>
        <w:tc>
          <w:tcPr>
            <w:tcW w:w="1327" w:type="dxa"/>
            <w:shd w:val="clear" w:color="auto" w:fill="auto"/>
            <w:noWrap/>
          </w:tcPr>
          <w:p w14:paraId="37618128" w14:textId="77777777" w:rsidR="002E041C" w:rsidRPr="00781608" w:rsidRDefault="00A54A63"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438</w:t>
            </w:r>
          </w:p>
        </w:tc>
        <w:tc>
          <w:tcPr>
            <w:tcW w:w="1446" w:type="dxa"/>
            <w:shd w:val="clear" w:color="auto" w:fill="auto"/>
            <w:noWrap/>
          </w:tcPr>
          <w:p w14:paraId="32A4B4C6" w14:textId="77777777" w:rsidR="002E041C" w:rsidRPr="00781608" w:rsidRDefault="00A54A63"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w:t>
            </w:r>
          </w:p>
        </w:tc>
        <w:tc>
          <w:tcPr>
            <w:tcW w:w="1224" w:type="dxa"/>
          </w:tcPr>
          <w:p w14:paraId="73B7D037" w14:textId="77777777" w:rsidR="002E041C" w:rsidRPr="00781608" w:rsidRDefault="00A54A63" w:rsidP="00E85684">
            <w:pPr>
              <w:spacing w:line="276" w:lineRule="auto"/>
              <w:jc w:val="right"/>
              <w:rPr>
                <w:rFonts w:asciiTheme="minorHAnsi" w:eastAsia="Times New Roman" w:hAnsiTheme="minorHAnsi" w:cstheme="minorHAnsi"/>
              </w:rPr>
            </w:pPr>
            <w:r w:rsidRPr="00781608">
              <w:rPr>
                <w:rFonts w:asciiTheme="minorHAnsi" w:eastAsia="Times New Roman" w:hAnsiTheme="minorHAnsi" w:cstheme="minorHAnsi"/>
              </w:rPr>
              <w:t>-</w:t>
            </w:r>
          </w:p>
        </w:tc>
      </w:tr>
      <w:tr w:rsidR="002E041C" w:rsidRPr="00781608" w14:paraId="5BCFE936" w14:textId="77777777" w:rsidTr="00D35E4E">
        <w:trPr>
          <w:trHeight w:val="300"/>
        </w:trPr>
        <w:tc>
          <w:tcPr>
            <w:tcW w:w="2988" w:type="dxa"/>
            <w:shd w:val="clear" w:color="auto" w:fill="auto"/>
          </w:tcPr>
          <w:p w14:paraId="58017CE8" w14:textId="77777777" w:rsidR="002E041C" w:rsidRPr="00781608" w:rsidRDefault="002E041C" w:rsidP="00E85684">
            <w:pPr>
              <w:spacing w:line="276" w:lineRule="auto"/>
              <w:rPr>
                <w:rFonts w:asciiTheme="minorHAnsi" w:eastAsia="Times New Roman" w:hAnsiTheme="minorHAnsi" w:cstheme="minorHAnsi"/>
                <w:b/>
                <w:bCs/>
              </w:rPr>
            </w:pPr>
            <w:r w:rsidRPr="00781608">
              <w:rPr>
                <w:rFonts w:asciiTheme="minorHAnsi" w:eastAsia="Times New Roman" w:hAnsiTheme="minorHAnsi" w:cstheme="minorHAnsi"/>
                <w:b/>
                <w:bCs/>
              </w:rPr>
              <w:t>Total (As shown in Form 2)</w:t>
            </w:r>
          </w:p>
        </w:tc>
        <w:tc>
          <w:tcPr>
            <w:tcW w:w="1327" w:type="dxa"/>
            <w:shd w:val="clear" w:color="auto" w:fill="auto"/>
            <w:noWrap/>
          </w:tcPr>
          <w:p w14:paraId="4C21BF40" w14:textId="77777777" w:rsidR="002E041C" w:rsidRPr="00781608" w:rsidRDefault="002E041C" w:rsidP="00E85684">
            <w:pPr>
              <w:spacing w:line="276" w:lineRule="auto"/>
              <w:jc w:val="right"/>
              <w:rPr>
                <w:rFonts w:asciiTheme="minorHAnsi" w:eastAsia="Times New Roman" w:hAnsiTheme="minorHAnsi" w:cstheme="minorHAnsi"/>
                <w:b/>
                <w:bCs/>
              </w:rPr>
            </w:pPr>
            <w:r w:rsidRPr="00781608">
              <w:rPr>
                <w:rFonts w:asciiTheme="minorHAnsi" w:eastAsia="Times New Roman" w:hAnsiTheme="minorHAnsi" w:cstheme="minorHAnsi"/>
                <w:b/>
                <w:bCs/>
              </w:rPr>
              <w:t>1,10,375</w:t>
            </w:r>
          </w:p>
        </w:tc>
        <w:tc>
          <w:tcPr>
            <w:tcW w:w="1327" w:type="dxa"/>
            <w:shd w:val="clear" w:color="auto" w:fill="auto"/>
            <w:noWrap/>
          </w:tcPr>
          <w:p w14:paraId="45B2D477" w14:textId="77777777" w:rsidR="002E041C" w:rsidRPr="00781608" w:rsidRDefault="00A54A63" w:rsidP="00E85684">
            <w:pPr>
              <w:spacing w:line="276" w:lineRule="auto"/>
              <w:jc w:val="right"/>
              <w:rPr>
                <w:rFonts w:asciiTheme="minorHAnsi" w:eastAsia="Times New Roman" w:hAnsiTheme="minorHAnsi" w:cstheme="minorHAnsi"/>
                <w:b/>
                <w:bCs/>
              </w:rPr>
            </w:pPr>
            <w:r w:rsidRPr="00781608">
              <w:rPr>
                <w:rFonts w:asciiTheme="minorHAnsi" w:eastAsia="Times New Roman" w:hAnsiTheme="minorHAnsi" w:cstheme="minorHAnsi"/>
                <w:b/>
                <w:bCs/>
              </w:rPr>
              <w:t>20,986</w:t>
            </w:r>
          </w:p>
        </w:tc>
        <w:tc>
          <w:tcPr>
            <w:tcW w:w="1446" w:type="dxa"/>
            <w:shd w:val="clear" w:color="auto" w:fill="auto"/>
            <w:noWrap/>
          </w:tcPr>
          <w:p w14:paraId="788DA761" w14:textId="77777777" w:rsidR="002E041C" w:rsidRPr="00781608" w:rsidRDefault="00A54A63" w:rsidP="00E85684">
            <w:pPr>
              <w:spacing w:line="276" w:lineRule="auto"/>
              <w:jc w:val="right"/>
              <w:rPr>
                <w:rFonts w:asciiTheme="minorHAnsi" w:eastAsia="Times New Roman" w:hAnsiTheme="minorHAnsi" w:cstheme="minorHAnsi"/>
                <w:b/>
                <w:bCs/>
              </w:rPr>
            </w:pPr>
            <w:r w:rsidRPr="00781608">
              <w:rPr>
                <w:rFonts w:asciiTheme="minorHAnsi" w:eastAsia="Times New Roman" w:hAnsiTheme="minorHAnsi" w:cstheme="minorHAnsi"/>
                <w:b/>
                <w:bCs/>
              </w:rPr>
              <w:t>28,435</w:t>
            </w:r>
          </w:p>
        </w:tc>
        <w:tc>
          <w:tcPr>
            <w:tcW w:w="1224" w:type="dxa"/>
          </w:tcPr>
          <w:p w14:paraId="6D5B1F62" w14:textId="77777777" w:rsidR="002E041C" w:rsidRPr="00781608" w:rsidRDefault="00A54A63" w:rsidP="00E85684">
            <w:pPr>
              <w:spacing w:line="276" w:lineRule="auto"/>
              <w:jc w:val="right"/>
              <w:rPr>
                <w:rFonts w:asciiTheme="minorHAnsi" w:eastAsia="Times New Roman" w:hAnsiTheme="minorHAnsi" w:cstheme="minorHAnsi"/>
                <w:b/>
                <w:bCs/>
              </w:rPr>
            </w:pPr>
            <w:r w:rsidRPr="00781608">
              <w:rPr>
                <w:rFonts w:asciiTheme="minorHAnsi" w:eastAsia="Times New Roman" w:hAnsiTheme="minorHAnsi" w:cstheme="minorHAnsi"/>
                <w:b/>
                <w:bCs/>
              </w:rPr>
              <w:t>49,421</w:t>
            </w:r>
          </w:p>
        </w:tc>
      </w:tr>
    </w:tbl>
    <w:p w14:paraId="5232AB23" w14:textId="77777777" w:rsidR="00D14D9A" w:rsidRPr="00781608" w:rsidRDefault="00D14D9A" w:rsidP="00E85684">
      <w:pPr>
        <w:pStyle w:val="ydp360db5b4yiv6248630976msolistparagraph"/>
        <w:spacing w:beforeAutospacing="0" w:after="200" w:afterAutospacing="0" w:line="276" w:lineRule="auto"/>
        <w:jc w:val="both"/>
        <w:rPr>
          <w:rFonts w:asciiTheme="minorHAnsi" w:eastAsia="Times New Roman" w:hAnsiTheme="minorHAnsi" w:cstheme="minorHAnsi"/>
          <w:sz w:val="24"/>
          <w:szCs w:val="24"/>
        </w:rPr>
      </w:pPr>
    </w:p>
    <w:p w14:paraId="7CDC347A" w14:textId="77777777" w:rsidR="00A56DF7" w:rsidRPr="00781608" w:rsidRDefault="00A56DF7" w:rsidP="00E85684">
      <w:pPr>
        <w:pStyle w:val="ydp360db5b4yiv6248630976msolistparagraph"/>
        <w:numPr>
          <w:ilvl w:val="0"/>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 xml:space="preserve">UGVCL has stated that it has considered only the tied-up sources for meeting the RPO target. In this regard, UGVCL should submit its strategy to meet its RPO targets including shortfall of previous years. </w:t>
      </w:r>
    </w:p>
    <w:p w14:paraId="26D63990" w14:textId="05EEC5AB" w:rsidR="00173F0F" w:rsidRPr="00781608" w:rsidRDefault="00836677" w:rsidP="00E85684">
      <w:pPr>
        <w:pStyle w:val="ydp360db5b4yiv6248630976msolistparagraph"/>
        <w:spacing w:after="200" w:line="276" w:lineRule="auto"/>
        <w:ind w:left="720"/>
        <w:jc w:val="both"/>
        <w:rPr>
          <w:rFonts w:asciiTheme="minorHAnsi" w:eastAsia="Times New Roman" w:hAnsiTheme="minorHAnsi" w:cstheme="minorHAnsi"/>
          <w:sz w:val="24"/>
          <w:szCs w:val="24"/>
        </w:rPr>
      </w:pPr>
      <w:r w:rsidRPr="00781608">
        <w:rPr>
          <w:rFonts w:asciiTheme="minorHAnsi" w:eastAsia="Times New Roman" w:hAnsiTheme="minorHAnsi" w:cstheme="minorHAnsi"/>
          <w:b/>
          <w:bCs/>
          <w:sz w:val="24"/>
          <w:szCs w:val="24"/>
        </w:rPr>
        <w:t>Compliance</w:t>
      </w:r>
      <w:r w:rsidR="00173F0F" w:rsidRPr="00781608">
        <w:rPr>
          <w:rFonts w:asciiTheme="minorHAnsi" w:eastAsia="Times New Roman" w:hAnsiTheme="minorHAnsi" w:cstheme="minorHAnsi"/>
          <w:b/>
          <w:bCs/>
          <w:sz w:val="24"/>
          <w:szCs w:val="24"/>
        </w:rPr>
        <w:t>:</w:t>
      </w:r>
      <w:r w:rsidR="00173F0F" w:rsidRPr="00781608">
        <w:rPr>
          <w:rFonts w:asciiTheme="minorHAnsi" w:eastAsia="Times New Roman" w:hAnsiTheme="minorHAnsi" w:cstheme="minorHAnsi"/>
          <w:sz w:val="24"/>
          <w:szCs w:val="24"/>
        </w:rPr>
        <w:t xml:space="preserve"> </w:t>
      </w:r>
      <w:r w:rsidR="00D30F5E" w:rsidRPr="00781608">
        <w:rPr>
          <w:rFonts w:asciiTheme="minorHAnsi" w:eastAsia="Times New Roman" w:hAnsiTheme="minorHAnsi" w:cstheme="minorHAnsi"/>
          <w:sz w:val="24"/>
          <w:szCs w:val="24"/>
        </w:rPr>
        <w:t>UGVCL submits that though it has considered actual tied-up sources for calculation of power purchase sources as part of ARR, there are other sources of RE power which will also help in meeting RPO. It is estimated that balance of RPO will be met through RE Energy wheeling by consumers for captive/ third party consumption who are not claiming RE attributes and consumption of rooftop consumers as per the Regulation/ Order of the Hon’ble Commission.</w:t>
      </w:r>
    </w:p>
    <w:p w14:paraId="036B0BEE" w14:textId="77777777" w:rsidR="00A56DF7" w:rsidRPr="00781608" w:rsidRDefault="00A56DF7" w:rsidP="00E85684">
      <w:pPr>
        <w:pStyle w:val="ydp360db5b4yiv6248630976msolistparagraph"/>
        <w:numPr>
          <w:ilvl w:val="0"/>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As regards Capital expenditure proposed for FY 2022-23, UGVCL should submit the following details:</w:t>
      </w:r>
    </w:p>
    <w:p w14:paraId="3CB548EE" w14:textId="77777777" w:rsidR="00A56DF7" w:rsidRPr="00781608" w:rsidRDefault="00A56DF7" w:rsidP="00E85684">
      <w:pPr>
        <w:pStyle w:val="ydp360db5b4yiv6248630976msolistparagraph"/>
        <w:numPr>
          <w:ilvl w:val="1"/>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 xml:space="preserve">Scheme-wise break-up of Capital Expenditure and Capitalisation proposed for FY 2022-23 along with DPR for each </w:t>
      </w:r>
      <w:proofErr w:type="gramStart"/>
      <w:r w:rsidRPr="00781608">
        <w:rPr>
          <w:rFonts w:asciiTheme="minorHAnsi" w:eastAsia="Times New Roman" w:hAnsiTheme="minorHAnsi" w:cstheme="minorHAnsi"/>
          <w:sz w:val="24"/>
          <w:szCs w:val="24"/>
        </w:rPr>
        <w:t>scheme;</w:t>
      </w:r>
      <w:proofErr w:type="gramEnd"/>
    </w:p>
    <w:p w14:paraId="11BBB764" w14:textId="77777777" w:rsidR="00A56DF7" w:rsidRPr="00781608" w:rsidRDefault="00A56DF7" w:rsidP="00E85684">
      <w:pPr>
        <w:pStyle w:val="ydp360db5b4yiv6248630976msolistparagraph"/>
        <w:numPr>
          <w:ilvl w:val="1"/>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 xml:space="preserve">Scheme-wise funding of proposed capitalised works with break-up of Grants, Loans, Consumer Contribution, Equity, </w:t>
      </w:r>
      <w:proofErr w:type="gramStart"/>
      <w:r w:rsidRPr="00781608">
        <w:rPr>
          <w:rFonts w:asciiTheme="minorHAnsi" w:eastAsia="Times New Roman" w:hAnsiTheme="minorHAnsi" w:cstheme="minorHAnsi"/>
          <w:sz w:val="24"/>
          <w:szCs w:val="24"/>
        </w:rPr>
        <w:t>etc;</w:t>
      </w:r>
      <w:proofErr w:type="gramEnd"/>
    </w:p>
    <w:p w14:paraId="69774481" w14:textId="77777777" w:rsidR="00A56DF7" w:rsidRPr="00781608" w:rsidRDefault="00A56DF7" w:rsidP="00E85684">
      <w:pPr>
        <w:pStyle w:val="ydp360db5b4yiv6248630976msolistparagraph"/>
        <w:numPr>
          <w:ilvl w:val="1"/>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 xml:space="preserve">Cost-benefit analysis for proposed capitalised </w:t>
      </w:r>
      <w:proofErr w:type="gramStart"/>
      <w:r w:rsidRPr="00781608">
        <w:rPr>
          <w:rFonts w:asciiTheme="minorHAnsi" w:eastAsia="Times New Roman" w:hAnsiTheme="minorHAnsi" w:cstheme="minorHAnsi"/>
          <w:sz w:val="24"/>
          <w:szCs w:val="24"/>
        </w:rPr>
        <w:t>works;</w:t>
      </w:r>
      <w:proofErr w:type="gramEnd"/>
    </w:p>
    <w:p w14:paraId="1F8BE627" w14:textId="77777777" w:rsidR="00A56DF7" w:rsidRPr="00781608" w:rsidRDefault="00A56DF7" w:rsidP="00E85684">
      <w:pPr>
        <w:pStyle w:val="ydp360db5b4yiv6248630976msolistparagraph"/>
        <w:numPr>
          <w:ilvl w:val="1"/>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 xml:space="preserve">Whether any revision in Capitalisation for FY 2021-22 is envisaged, </w:t>
      </w:r>
      <w:proofErr w:type="gramStart"/>
      <w:r w:rsidRPr="00781608">
        <w:rPr>
          <w:rFonts w:asciiTheme="minorHAnsi" w:eastAsia="Times New Roman" w:hAnsiTheme="minorHAnsi" w:cstheme="minorHAnsi"/>
          <w:sz w:val="24"/>
          <w:szCs w:val="24"/>
        </w:rPr>
        <w:t>since,</w:t>
      </w:r>
      <w:proofErr w:type="gramEnd"/>
      <w:r w:rsidRPr="00781608">
        <w:rPr>
          <w:rFonts w:asciiTheme="minorHAnsi" w:eastAsia="Times New Roman" w:hAnsiTheme="minorHAnsi" w:cstheme="minorHAnsi"/>
          <w:sz w:val="24"/>
          <w:szCs w:val="24"/>
        </w:rPr>
        <w:t xml:space="preserve"> 9 months of the year are completed;</w:t>
      </w:r>
    </w:p>
    <w:p w14:paraId="55091F1D" w14:textId="77777777" w:rsidR="00A56DF7" w:rsidRPr="00781608" w:rsidRDefault="00A56DF7" w:rsidP="00E85684">
      <w:pPr>
        <w:pStyle w:val="ydp360db5b4yiv6248630976msolistparagraph"/>
        <w:numPr>
          <w:ilvl w:val="1"/>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 xml:space="preserve">Capitalisation against CWIP and new Schemes projected for FY </w:t>
      </w:r>
      <w:proofErr w:type="gramStart"/>
      <w:r w:rsidRPr="00781608">
        <w:rPr>
          <w:rFonts w:asciiTheme="minorHAnsi" w:eastAsia="Times New Roman" w:hAnsiTheme="minorHAnsi" w:cstheme="minorHAnsi"/>
          <w:sz w:val="24"/>
          <w:szCs w:val="24"/>
        </w:rPr>
        <w:t>2022-23;</w:t>
      </w:r>
      <w:proofErr w:type="gramEnd"/>
    </w:p>
    <w:p w14:paraId="59FB772C" w14:textId="77777777" w:rsidR="00A56DF7" w:rsidRPr="00781608" w:rsidRDefault="00A56DF7" w:rsidP="00E85684">
      <w:pPr>
        <w:pStyle w:val="ydp360db5b4yiv6248630976msolistparagraph"/>
        <w:numPr>
          <w:ilvl w:val="1"/>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 xml:space="preserve">Cost per agricultural connection considered for projection and basis for the </w:t>
      </w:r>
      <w:proofErr w:type="gramStart"/>
      <w:r w:rsidRPr="00781608">
        <w:rPr>
          <w:rFonts w:asciiTheme="minorHAnsi" w:eastAsia="Times New Roman" w:hAnsiTheme="minorHAnsi" w:cstheme="minorHAnsi"/>
          <w:sz w:val="24"/>
          <w:szCs w:val="24"/>
        </w:rPr>
        <w:t>same;</w:t>
      </w:r>
      <w:proofErr w:type="gramEnd"/>
    </w:p>
    <w:p w14:paraId="1F17B272" w14:textId="77777777" w:rsidR="00A56DF7" w:rsidRPr="00781608" w:rsidRDefault="00A56DF7" w:rsidP="00E85684">
      <w:pPr>
        <w:pStyle w:val="ydp360db5b4yiv6248630976msolistparagraph"/>
        <w:numPr>
          <w:ilvl w:val="1"/>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DPR for proposed Smart-meter installation under TOTEX model.</w:t>
      </w:r>
    </w:p>
    <w:p w14:paraId="5907A3C7" w14:textId="388DD520" w:rsidR="00557F41" w:rsidRPr="00557F41" w:rsidRDefault="008066DC" w:rsidP="00557F41">
      <w:pPr>
        <w:pStyle w:val="ydp360db5b4yiv6248630976msolistparagraph"/>
        <w:spacing w:after="240" w:line="276" w:lineRule="auto"/>
        <w:ind w:left="567"/>
        <w:jc w:val="both"/>
        <w:rPr>
          <w:rFonts w:asciiTheme="minorHAnsi" w:hAnsiTheme="minorHAnsi" w:cstheme="minorHAnsi"/>
          <w:sz w:val="24"/>
          <w:szCs w:val="24"/>
        </w:rPr>
      </w:pPr>
      <w:bookmarkStart w:id="14" w:name="_Hlk93157348"/>
      <w:r w:rsidRPr="00557F41">
        <w:rPr>
          <w:rFonts w:asciiTheme="minorHAnsi" w:hAnsiTheme="minorHAnsi" w:cstheme="minorHAnsi"/>
          <w:b/>
          <w:bCs/>
          <w:sz w:val="24"/>
          <w:szCs w:val="24"/>
        </w:rPr>
        <w:t>Compliance:</w:t>
      </w:r>
      <w:r w:rsidR="00557F41" w:rsidRPr="00557F41">
        <w:rPr>
          <w:rFonts w:asciiTheme="minorHAnsi" w:hAnsiTheme="minorHAnsi" w:cstheme="minorHAnsi"/>
          <w:sz w:val="24"/>
          <w:szCs w:val="24"/>
        </w:rPr>
        <w:t xml:space="preserve"> Most of the capital investment schemes proposed by the </w:t>
      </w:r>
      <w:proofErr w:type="spellStart"/>
      <w:r w:rsidR="00557F41" w:rsidRPr="00557F41">
        <w:rPr>
          <w:rFonts w:asciiTheme="minorHAnsi" w:hAnsiTheme="minorHAnsi" w:cstheme="minorHAnsi"/>
          <w:sz w:val="24"/>
          <w:szCs w:val="24"/>
        </w:rPr>
        <w:t>Discoms</w:t>
      </w:r>
      <w:proofErr w:type="spellEnd"/>
      <w:r w:rsidR="00557F41" w:rsidRPr="00557F41">
        <w:rPr>
          <w:rFonts w:asciiTheme="minorHAnsi" w:hAnsiTheme="minorHAnsi" w:cstheme="minorHAnsi"/>
          <w:sz w:val="24"/>
          <w:szCs w:val="24"/>
        </w:rPr>
        <w:t xml:space="preserve"> are of continuous and ongoing nature. These are based on yearly targets set for meeting the supply obligation, providing quality and reliable power to consumers, reduction in losses, release of agriculture connections, etc. Generally, there are no pre-defined timelines as the schemes are further bifurcated into various works under the scheme. For </w:t>
      </w:r>
      <w:proofErr w:type="gramStart"/>
      <w:r w:rsidR="00557F41" w:rsidRPr="00557F41">
        <w:rPr>
          <w:rFonts w:asciiTheme="minorHAnsi" w:hAnsiTheme="minorHAnsi" w:cstheme="minorHAnsi"/>
          <w:sz w:val="24"/>
          <w:szCs w:val="24"/>
        </w:rPr>
        <w:t>e.g.</w:t>
      </w:r>
      <w:proofErr w:type="gramEnd"/>
      <w:r w:rsidR="00557F41" w:rsidRPr="00557F41">
        <w:rPr>
          <w:rFonts w:asciiTheme="minorHAnsi" w:hAnsiTheme="minorHAnsi" w:cstheme="minorHAnsi"/>
          <w:sz w:val="24"/>
          <w:szCs w:val="24"/>
        </w:rPr>
        <w:t xml:space="preserve"> the system improvement scheme i.e. S.I. scheme incorporates the various activities such as bifurcation of feeders, overhead to underground cable conversion, new substation link line work, aerial bunch conductor, replacement of deteriorated conductor, etc. Since these works are of ongoing nature and the assets created are capitalised within a short </w:t>
      </w:r>
      <w:proofErr w:type="gramStart"/>
      <w:r w:rsidR="00557F41" w:rsidRPr="00557F41">
        <w:rPr>
          <w:rFonts w:asciiTheme="minorHAnsi" w:hAnsiTheme="minorHAnsi" w:cstheme="minorHAnsi"/>
          <w:sz w:val="24"/>
          <w:szCs w:val="24"/>
        </w:rPr>
        <w:t>time period</w:t>
      </w:r>
      <w:proofErr w:type="gramEnd"/>
      <w:r w:rsidR="00557F41" w:rsidRPr="00557F41">
        <w:rPr>
          <w:rFonts w:asciiTheme="minorHAnsi" w:hAnsiTheme="minorHAnsi" w:cstheme="minorHAnsi"/>
          <w:sz w:val="24"/>
          <w:szCs w:val="24"/>
        </w:rPr>
        <w:t xml:space="preserve">, most of the capital investment carried out is capitalised in the same year and therefore there is not much capital work in progress </w:t>
      </w:r>
      <w:r w:rsidR="00557F41" w:rsidRPr="00557F41">
        <w:rPr>
          <w:rFonts w:asciiTheme="minorHAnsi" w:hAnsiTheme="minorHAnsi" w:cstheme="minorHAnsi"/>
          <w:sz w:val="24"/>
          <w:szCs w:val="24"/>
        </w:rPr>
        <w:lastRenderedPageBreak/>
        <w:t>to be carried forward. Moreover, Discom does not have option to decide whether to invest in capital expenditure scheme or not. Hence, working out cost benefit analysis for the scheme may not be use as Discom has to carried out the scheme.</w:t>
      </w:r>
    </w:p>
    <w:p w14:paraId="4D22D2EB" w14:textId="77777777" w:rsidR="009C745C" w:rsidRPr="009C745C" w:rsidRDefault="009C745C" w:rsidP="009C745C">
      <w:pPr>
        <w:pStyle w:val="ydp360db5b4yiv6248630976msolistparagraph"/>
        <w:spacing w:after="240" w:line="276" w:lineRule="auto"/>
        <w:ind w:left="567"/>
        <w:jc w:val="both"/>
        <w:rPr>
          <w:rFonts w:asciiTheme="minorHAnsi" w:hAnsiTheme="minorHAnsi" w:cstheme="minorHAnsi"/>
          <w:sz w:val="24"/>
          <w:szCs w:val="24"/>
        </w:rPr>
      </w:pPr>
      <w:r w:rsidRPr="009C745C">
        <w:rPr>
          <w:rFonts w:asciiTheme="minorHAnsi" w:hAnsiTheme="minorHAnsi" w:cstheme="minorHAnsi"/>
          <w:sz w:val="24"/>
          <w:szCs w:val="24"/>
        </w:rPr>
        <w:t>Discom is raising fund in totality considering expected capital expenditure and similarly grant is released by respective agency based on availability of fund. It is possible that Discom has used grant for capital expenditure and asset is yet to get capitalised. It is possible that scheme capitalised in FY 2020-21 and its grant and consumer contribution is received in FY 2019-20 or before that. To make things simpler and considering the interest of the consumers, Discom is offering grant and consumer contribution received during the financial year for reduction of funding requirement irrespective of grant &amp; consumer contribution is used or capital expenditure carried out through grant &amp; consumer contribution is capitalized.</w:t>
      </w:r>
    </w:p>
    <w:p w14:paraId="4C026806" w14:textId="77777777" w:rsidR="009C745C" w:rsidRPr="009C745C" w:rsidRDefault="009C745C" w:rsidP="009C745C">
      <w:pPr>
        <w:pStyle w:val="ydp360db5b4yiv6248630976msolistparagraph"/>
        <w:spacing w:after="240" w:line="276" w:lineRule="auto"/>
        <w:ind w:left="567"/>
        <w:jc w:val="both"/>
        <w:rPr>
          <w:rFonts w:asciiTheme="minorHAnsi" w:hAnsiTheme="minorHAnsi" w:cstheme="minorHAnsi"/>
          <w:sz w:val="24"/>
          <w:szCs w:val="24"/>
        </w:rPr>
      </w:pPr>
      <w:r w:rsidRPr="009C745C">
        <w:rPr>
          <w:rFonts w:asciiTheme="minorHAnsi" w:hAnsiTheme="minorHAnsi" w:cstheme="minorHAnsi"/>
          <w:sz w:val="24"/>
          <w:szCs w:val="24"/>
        </w:rPr>
        <w:t xml:space="preserve">Discom is meeting its funding requirement first from grant and consumer contribution and remaining is met through raising debt, retaining earnings, internal accruals etc. Discom has provided details of fund raised during the year and remaining is met through equity contribution. </w:t>
      </w:r>
      <w:proofErr w:type="gramStart"/>
      <w:r w:rsidRPr="009C745C">
        <w:rPr>
          <w:rFonts w:asciiTheme="minorHAnsi" w:hAnsiTheme="minorHAnsi" w:cstheme="minorHAnsi"/>
          <w:sz w:val="24"/>
          <w:szCs w:val="24"/>
        </w:rPr>
        <w:t>For the purpose of</w:t>
      </w:r>
      <w:proofErr w:type="gramEnd"/>
      <w:r w:rsidRPr="009C745C">
        <w:rPr>
          <w:rFonts w:asciiTheme="minorHAnsi" w:hAnsiTheme="minorHAnsi" w:cstheme="minorHAnsi"/>
          <w:sz w:val="24"/>
          <w:szCs w:val="24"/>
        </w:rPr>
        <w:t xml:space="preserve"> calculation of ARR, Discom has restricted equity contribution to normative level 30% of funding as per MYT Regulations, 2016.</w:t>
      </w:r>
    </w:p>
    <w:p w14:paraId="590418BA" w14:textId="135D822D" w:rsidR="009C745C" w:rsidRDefault="009C745C" w:rsidP="009C745C">
      <w:pPr>
        <w:pStyle w:val="ydp360db5b4yiv6248630976msolistparagraph"/>
        <w:spacing w:after="240" w:line="276" w:lineRule="auto"/>
        <w:ind w:left="567"/>
        <w:jc w:val="both"/>
        <w:rPr>
          <w:rFonts w:asciiTheme="minorHAnsi" w:hAnsiTheme="minorHAnsi" w:cstheme="minorHAnsi"/>
          <w:sz w:val="24"/>
          <w:szCs w:val="24"/>
        </w:rPr>
      </w:pPr>
      <w:r w:rsidRPr="009C745C">
        <w:rPr>
          <w:rFonts w:asciiTheme="minorHAnsi" w:hAnsiTheme="minorHAnsi" w:cstheme="minorHAnsi"/>
          <w:sz w:val="24"/>
          <w:szCs w:val="24"/>
        </w:rPr>
        <w:t>It is to submit that most of the capital expenditure schemes are driven by either government schemes/ targets or meeting supply obligations. In both the scenario, Discom does not have option to decide whether to invest in capital expenditure scheme or not. Hence, working out cost benefit analysis for the scheme may not be use as Discom has to carried out the scheme.</w:t>
      </w:r>
    </w:p>
    <w:p w14:paraId="77E8F014" w14:textId="2324A5B4" w:rsidR="00557F41" w:rsidRPr="00C0686E" w:rsidRDefault="00557F41" w:rsidP="00557F41">
      <w:pPr>
        <w:pStyle w:val="ydp360db5b4yiv6248630976msolistparagraph"/>
        <w:spacing w:after="240" w:line="276" w:lineRule="auto"/>
        <w:ind w:left="567"/>
        <w:jc w:val="both"/>
        <w:rPr>
          <w:rFonts w:asciiTheme="minorHAnsi" w:hAnsiTheme="minorHAnsi" w:cstheme="minorHAnsi"/>
          <w:sz w:val="24"/>
          <w:szCs w:val="24"/>
        </w:rPr>
      </w:pPr>
      <w:r w:rsidRPr="00557F41">
        <w:rPr>
          <w:rFonts w:asciiTheme="minorHAnsi" w:hAnsiTheme="minorHAnsi" w:cstheme="minorHAnsi"/>
          <w:sz w:val="24"/>
          <w:szCs w:val="24"/>
        </w:rPr>
        <w:t xml:space="preserve">As regards to revision in capitalisation for FY 2021-22, it is to submit that since year is going on and many of </w:t>
      </w:r>
      <w:r w:rsidRPr="00C0686E">
        <w:rPr>
          <w:rFonts w:asciiTheme="minorHAnsi" w:hAnsiTheme="minorHAnsi" w:cstheme="minorHAnsi"/>
          <w:sz w:val="24"/>
          <w:szCs w:val="24"/>
        </w:rPr>
        <w:t xml:space="preserve">the works/ targets are met by March, </w:t>
      </w:r>
      <w:r w:rsidR="009C745C" w:rsidRPr="00C0686E">
        <w:rPr>
          <w:rFonts w:asciiTheme="minorHAnsi" w:hAnsiTheme="minorHAnsi" w:cstheme="minorHAnsi"/>
          <w:sz w:val="24"/>
          <w:szCs w:val="24"/>
        </w:rPr>
        <w:t>therefore it</w:t>
      </w:r>
      <w:r w:rsidRPr="00C0686E">
        <w:rPr>
          <w:rFonts w:asciiTheme="minorHAnsi" w:hAnsiTheme="minorHAnsi" w:cstheme="minorHAnsi"/>
          <w:sz w:val="24"/>
          <w:szCs w:val="24"/>
        </w:rPr>
        <w:t xml:space="preserve"> is difficult to envisage any revision in </w:t>
      </w:r>
      <w:r w:rsidR="009C745C" w:rsidRPr="00C0686E">
        <w:rPr>
          <w:rFonts w:asciiTheme="minorHAnsi" w:hAnsiTheme="minorHAnsi" w:cstheme="minorHAnsi"/>
          <w:sz w:val="24"/>
          <w:szCs w:val="24"/>
        </w:rPr>
        <w:t>capitalisation</w:t>
      </w:r>
      <w:r w:rsidRPr="00C0686E">
        <w:rPr>
          <w:rFonts w:asciiTheme="minorHAnsi" w:hAnsiTheme="minorHAnsi" w:cstheme="minorHAnsi"/>
          <w:sz w:val="24"/>
          <w:szCs w:val="24"/>
        </w:rPr>
        <w:t xml:space="preserve"> for FY 2021-22 at this juncture.</w:t>
      </w:r>
    </w:p>
    <w:p w14:paraId="2A8F4454" w14:textId="3CFF8ACD" w:rsidR="009C745C" w:rsidRDefault="00557F41" w:rsidP="009C745C">
      <w:pPr>
        <w:pStyle w:val="ydp360db5b4yiv6248630976msolistparagraph"/>
        <w:spacing w:after="240" w:line="276" w:lineRule="auto"/>
        <w:ind w:left="567"/>
        <w:jc w:val="both"/>
        <w:rPr>
          <w:rFonts w:asciiTheme="minorHAnsi" w:hAnsiTheme="minorHAnsi" w:cstheme="minorHAnsi"/>
          <w:sz w:val="24"/>
          <w:szCs w:val="24"/>
        </w:rPr>
      </w:pPr>
      <w:r w:rsidRPr="00C0686E">
        <w:rPr>
          <w:rFonts w:asciiTheme="minorHAnsi" w:hAnsiTheme="minorHAnsi" w:cstheme="minorHAnsi"/>
          <w:sz w:val="24"/>
          <w:szCs w:val="24"/>
        </w:rPr>
        <w:t>Rs. 1.</w:t>
      </w:r>
      <w:r w:rsidR="00C0686E" w:rsidRPr="00C0686E">
        <w:rPr>
          <w:rFonts w:asciiTheme="minorHAnsi" w:hAnsiTheme="minorHAnsi" w:cstheme="minorHAnsi"/>
          <w:sz w:val="24"/>
          <w:szCs w:val="24"/>
        </w:rPr>
        <w:t>68</w:t>
      </w:r>
      <w:r w:rsidRPr="00C0686E">
        <w:rPr>
          <w:rFonts w:asciiTheme="minorHAnsi" w:hAnsiTheme="minorHAnsi" w:cstheme="minorHAnsi"/>
          <w:sz w:val="24"/>
          <w:szCs w:val="24"/>
        </w:rPr>
        <w:t xml:space="preserve"> Lacs is considered</w:t>
      </w:r>
      <w:r w:rsidRPr="00557F41">
        <w:rPr>
          <w:rFonts w:asciiTheme="minorHAnsi" w:hAnsiTheme="minorHAnsi" w:cstheme="minorHAnsi"/>
          <w:sz w:val="24"/>
          <w:szCs w:val="24"/>
        </w:rPr>
        <w:t xml:space="preserve"> as cost per Agriculture connection based on historical data.</w:t>
      </w:r>
    </w:p>
    <w:p w14:paraId="6B25829F" w14:textId="402F9DEB" w:rsidR="00A56DF7" w:rsidRPr="00557F41" w:rsidRDefault="00557F41" w:rsidP="009C745C">
      <w:pPr>
        <w:pStyle w:val="ydp360db5b4yiv6248630976msolistparagraph"/>
        <w:spacing w:after="240" w:line="276" w:lineRule="auto"/>
        <w:ind w:left="567"/>
        <w:jc w:val="both"/>
        <w:rPr>
          <w:rFonts w:asciiTheme="minorHAnsi" w:hAnsiTheme="minorHAnsi" w:cstheme="minorHAnsi"/>
          <w:sz w:val="24"/>
          <w:szCs w:val="24"/>
        </w:rPr>
      </w:pPr>
      <w:r w:rsidRPr="00557F41">
        <w:rPr>
          <w:rFonts w:asciiTheme="minorHAnsi" w:hAnsiTheme="minorHAnsi" w:cstheme="minorHAnsi"/>
          <w:sz w:val="24"/>
          <w:szCs w:val="24"/>
        </w:rPr>
        <w:t xml:space="preserve">DPR for proposed Smart-meter installation under TOTEX model is </w:t>
      </w:r>
      <w:r w:rsidR="009C745C">
        <w:rPr>
          <w:rFonts w:asciiTheme="minorHAnsi" w:hAnsiTheme="minorHAnsi" w:cstheme="minorHAnsi"/>
          <w:sz w:val="24"/>
          <w:szCs w:val="24"/>
        </w:rPr>
        <w:t>yet to be finalised.</w:t>
      </w:r>
      <w:r w:rsidRPr="00557F41">
        <w:rPr>
          <w:rFonts w:asciiTheme="minorHAnsi" w:hAnsiTheme="minorHAnsi" w:cstheme="minorHAnsi"/>
          <w:sz w:val="24"/>
          <w:szCs w:val="24"/>
        </w:rPr>
        <w:t xml:space="preserve">  </w:t>
      </w:r>
    </w:p>
    <w:bookmarkEnd w:id="14"/>
    <w:p w14:paraId="6A13E1D5" w14:textId="77777777" w:rsidR="00557F41" w:rsidRPr="00781608" w:rsidRDefault="00557F41" w:rsidP="00E85684">
      <w:pPr>
        <w:pStyle w:val="ydp360db5b4yiv6248630976msolistparagraph"/>
        <w:spacing w:beforeAutospacing="0" w:after="240" w:afterAutospacing="0" w:line="276" w:lineRule="auto"/>
        <w:ind w:left="567"/>
        <w:jc w:val="both"/>
        <w:rPr>
          <w:rFonts w:asciiTheme="minorHAnsi" w:hAnsiTheme="minorHAnsi" w:cstheme="minorHAnsi"/>
          <w:sz w:val="24"/>
          <w:szCs w:val="24"/>
        </w:rPr>
      </w:pPr>
    </w:p>
    <w:p w14:paraId="19110B58" w14:textId="77777777" w:rsidR="00A56DF7" w:rsidRPr="00781608" w:rsidRDefault="00A56DF7" w:rsidP="00E85684">
      <w:pPr>
        <w:pStyle w:val="ydp360db5b4yiv6248630976msolistparagraph"/>
        <w:spacing w:beforeAutospacing="0" w:after="240" w:afterAutospacing="0" w:line="276" w:lineRule="auto"/>
        <w:jc w:val="both"/>
        <w:rPr>
          <w:rFonts w:asciiTheme="minorHAnsi" w:hAnsiTheme="minorHAnsi" w:cstheme="minorHAnsi"/>
          <w:b/>
          <w:bCs/>
          <w:sz w:val="24"/>
          <w:szCs w:val="24"/>
        </w:rPr>
      </w:pPr>
      <w:r w:rsidRPr="00781608">
        <w:rPr>
          <w:rFonts w:asciiTheme="minorHAnsi" w:hAnsiTheme="minorHAnsi" w:cstheme="minorHAnsi"/>
          <w:b/>
          <w:bCs/>
          <w:sz w:val="24"/>
          <w:szCs w:val="24"/>
        </w:rPr>
        <w:t>Compliance to Directives</w:t>
      </w:r>
    </w:p>
    <w:p w14:paraId="3DECF2EE" w14:textId="77777777" w:rsidR="00A56DF7" w:rsidRPr="00781608" w:rsidRDefault="00A56DF7" w:rsidP="00E85684">
      <w:pPr>
        <w:pStyle w:val="ydp360db5b4yiv6248630976msolistparagraph"/>
        <w:numPr>
          <w:ilvl w:val="0"/>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In Tariff Order dated 31 March 2021, UGVCL was directed to submit Cost to Serve report for FY 2020-21 along with next petition on timely basis with further necessary improvement in the report:</w:t>
      </w:r>
    </w:p>
    <w:p w14:paraId="463064A2" w14:textId="77777777" w:rsidR="00A56DF7" w:rsidRPr="00781608" w:rsidRDefault="00A56DF7" w:rsidP="00E85684">
      <w:pPr>
        <w:pStyle w:val="ydp360db5b4yiv6248630976msolistparagraph"/>
        <w:numPr>
          <w:ilvl w:val="1"/>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hAnsiTheme="minorHAnsi" w:cstheme="minorHAnsi"/>
          <w:sz w:val="24"/>
          <w:szCs w:val="24"/>
        </w:rPr>
        <w:lastRenderedPageBreak/>
        <w:t xml:space="preserve">Using </w:t>
      </w:r>
      <w:r w:rsidRPr="00781608">
        <w:rPr>
          <w:rFonts w:asciiTheme="minorHAnsi" w:eastAsia="Times New Roman" w:hAnsiTheme="minorHAnsi" w:cstheme="minorHAnsi"/>
          <w:sz w:val="24"/>
          <w:szCs w:val="24"/>
        </w:rPr>
        <w:t>more</w:t>
      </w:r>
      <w:r w:rsidRPr="00781608">
        <w:rPr>
          <w:rFonts w:asciiTheme="minorHAnsi" w:hAnsiTheme="minorHAnsi" w:cstheme="minorHAnsi"/>
          <w:sz w:val="24"/>
          <w:szCs w:val="24"/>
        </w:rPr>
        <w:t xml:space="preserve"> specific allocation of costs for demand, energy and customer related.</w:t>
      </w:r>
    </w:p>
    <w:p w14:paraId="49918254" w14:textId="77777777" w:rsidR="00A56DF7" w:rsidRPr="00781608" w:rsidRDefault="00A56DF7" w:rsidP="00E85684">
      <w:pPr>
        <w:pStyle w:val="ydp360db5b4yiv6248630976msolistparagraph"/>
        <w:numPr>
          <w:ilvl w:val="1"/>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eastAsia="Times New Roman" w:hAnsiTheme="minorHAnsi" w:cstheme="minorHAnsi"/>
          <w:sz w:val="24"/>
          <w:szCs w:val="24"/>
        </w:rPr>
        <w:t>Technical</w:t>
      </w:r>
      <w:r w:rsidRPr="00781608">
        <w:rPr>
          <w:rFonts w:asciiTheme="minorHAnsi" w:hAnsiTheme="minorHAnsi" w:cstheme="minorHAnsi"/>
          <w:sz w:val="24"/>
          <w:szCs w:val="24"/>
        </w:rPr>
        <w:t xml:space="preserve"> losses on actual basis rather than estimation and duly backed by proper analysis and metering data.</w:t>
      </w:r>
    </w:p>
    <w:p w14:paraId="6E41A46F" w14:textId="77777777" w:rsidR="00A56DF7" w:rsidRPr="00781608" w:rsidRDefault="00A56DF7" w:rsidP="00E85684">
      <w:pPr>
        <w:pStyle w:val="ydp360db5b4yiv6248630976msolistparagraph"/>
        <w:numPr>
          <w:ilvl w:val="1"/>
          <w:numId w:val="23"/>
        </w:numPr>
        <w:spacing w:beforeAutospacing="0" w:after="200" w:afterAutospacing="0" w:line="276" w:lineRule="auto"/>
        <w:jc w:val="both"/>
        <w:rPr>
          <w:rFonts w:asciiTheme="minorHAnsi" w:hAnsiTheme="minorHAnsi" w:cstheme="minorHAnsi"/>
          <w:sz w:val="24"/>
          <w:szCs w:val="24"/>
        </w:rPr>
      </w:pPr>
      <w:r w:rsidRPr="00781608">
        <w:rPr>
          <w:rFonts w:asciiTheme="minorHAnsi" w:hAnsiTheme="minorHAnsi" w:cstheme="minorHAnsi"/>
          <w:sz w:val="24"/>
          <w:szCs w:val="24"/>
        </w:rPr>
        <w:t>Petitioner should also compute Voltage-wise Cost to serve separately.</w:t>
      </w:r>
    </w:p>
    <w:p w14:paraId="674E20F2" w14:textId="77777777" w:rsidR="00A56DF7" w:rsidRPr="00781608" w:rsidRDefault="00A56DF7" w:rsidP="00E85684">
      <w:pPr>
        <w:pStyle w:val="ydp360db5b4yiv6248630976msolistparagraph"/>
        <w:spacing w:beforeAutospacing="0" w:after="120" w:afterAutospacing="0" w:line="276" w:lineRule="auto"/>
        <w:ind w:left="630"/>
        <w:jc w:val="both"/>
        <w:rPr>
          <w:rFonts w:asciiTheme="minorHAnsi" w:hAnsiTheme="minorHAnsi" w:cstheme="minorHAnsi"/>
          <w:sz w:val="24"/>
          <w:szCs w:val="24"/>
        </w:rPr>
      </w:pPr>
      <w:r w:rsidRPr="00781608">
        <w:rPr>
          <w:rFonts w:asciiTheme="minorHAnsi" w:hAnsiTheme="minorHAnsi" w:cstheme="minorHAnsi"/>
          <w:sz w:val="24"/>
          <w:szCs w:val="24"/>
        </w:rPr>
        <w:t>UGVCL should submit the compliance for the above directive.</w:t>
      </w:r>
    </w:p>
    <w:p w14:paraId="3B52D009" w14:textId="26E89FEF" w:rsidR="00667B70" w:rsidRPr="00781608" w:rsidRDefault="00836677" w:rsidP="00E85684">
      <w:pPr>
        <w:pStyle w:val="ydp360db5b4yiv6248630976msolistparagraph"/>
        <w:spacing w:after="200" w:line="276" w:lineRule="auto"/>
        <w:ind w:left="720"/>
        <w:jc w:val="both"/>
        <w:rPr>
          <w:rFonts w:asciiTheme="minorHAnsi" w:eastAsia="Times New Roman" w:hAnsiTheme="minorHAnsi" w:cstheme="minorHAnsi"/>
          <w:sz w:val="24"/>
          <w:szCs w:val="24"/>
        </w:rPr>
      </w:pPr>
      <w:r w:rsidRPr="00781608">
        <w:rPr>
          <w:rFonts w:asciiTheme="minorHAnsi" w:eastAsia="Times New Roman" w:hAnsiTheme="minorHAnsi" w:cstheme="minorHAnsi"/>
          <w:b/>
          <w:bCs/>
          <w:sz w:val="24"/>
          <w:szCs w:val="24"/>
        </w:rPr>
        <w:t>Compliance</w:t>
      </w:r>
      <w:r w:rsidR="00667B70" w:rsidRPr="00781608">
        <w:rPr>
          <w:rFonts w:asciiTheme="minorHAnsi" w:eastAsia="Times New Roman" w:hAnsiTheme="minorHAnsi" w:cstheme="minorHAnsi"/>
          <w:b/>
          <w:bCs/>
          <w:sz w:val="24"/>
          <w:szCs w:val="24"/>
        </w:rPr>
        <w:t>:</w:t>
      </w:r>
      <w:bookmarkStart w:id="15" w:name="_Hlk92473211"/>
      <w:r w:rsidR="008353B1" w:rsidRPr="00781608">
        <w:rPr>
          <w:rFonts w:asciiTheme="minorHAnsi" w:eastAsia="Times New Roman" w:hAnsiTheme="minorHAnsi" w:cstheme="minorHAnsi"/>
          <w:b/>
          <w:bCs/>
          <w:sz w:val="24"/>
          <w:szCs w:val="24"/>
        </w:rPr>
        <w:t xml:space="preserve"> </w:t>
      </w:r>
      <w:bookmarkStart w:id="16" w:name="_Hlk93157543"/>
      <w:r w:rsidR="000E5483" w:rsidRPr="00781608">
        <w:rPr>
          <w:rFonts w:asciiTheme="minorHAnsi" w:eastAsia="Times New Roman" w:hAnsiTheme="minorHAnsi" w:cstheme="minorHAnsi"/>
          <w:sz w:val="24"/>
          <w:szCs w:val="24"/>
        </w:rPr>
        <w:t>GUVNL on behalf of four DISCOMs has already submitted Cost to Serve Report for FY 2020-21 to Hon’ble GERC vide Letter No. GUVNL/COM/GERC/2021/1649 dated 20.12.2021. The cost to serve Reports are also uploaded on the website of GUVNL as well as website of four DISCOMs.</w:t>
      </w:r>
      <w:bookmarkEnd w:id="15"/>
      <w:bookmarkEnd w:id="16"/>
    </w:p>
    <w:p w14:paraId="7303C73A" w14:textId="77777777" w:rsidR="00667B70" w:rsidRPr="00781608" w:rsidRDefault="00667B70" w:rsidP="00E85684">
      <w:pPr>
        <w:pStyle w:val="ydp360db5b4yiv6248630976msolistparagraph"/>
        <w:spacing w:beforeAutospacing="0" w:after="120" w:afterAutospacing="0" w:line="276" w:lineRule="auto"/>
        <w:ind w:left="630"/>
        <w:jc w:val="both"/>
        <w:rPr>
          <w:rFonts w:asciiTheme="minorHAnsi" w:hAnsiTheme="minorHAnsi" w:cstheme="minorHAnsi"/>
          <w:sz w:val="24"/>
          <w:szCs w:val="24"/>
        </w:rPr>
      </w:pPr>
    </w:p>
    <w:p w14:paraId="72FEF3BA" w14:textId="77777777" w:rsidR="00A56DF7" w:rsidRPr="00781608" w:rsidRDefault="00A56DF7" w:rsidP="00E85684">
      <w:pPr>
        <w:pStyle w:val="ydp360db5b4yiv6248630976msolistparagraph"/>
        <w:numPr>
          <w:ilvl w:val="0"/>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 xml:space="preserve">In Tariff Order dated 31 March 2021, UGVCL was directed to propose ToD tariff for Smart Grid project consumers, on pilot basis, keeping in view the solar and other renewable energy resources, in the next MYT tariff proposal. </w:t>
      </w:r>
    </w:p>
    <w:p w14:paraId="39D929EC" w14:textId="77777777" w:rsidR="00F0477C" w:rsidRPr="00781608" w:rsidRDefault="00F0477C" w:rsidP="00F0477C">
      <w:pPr>
        <w:pStyle w:val="ydp360db5b4yiv6248630976msolistparagraph"/>
        <w:spacing w:beforeAutospacing="0" w:after="200" w:afterAutospacing="0" w:line="276" w:lineRule="auto"/>
        <w:ind w:left="720"/>
        <w:jc w:val="both"/>
        <w:rPr>
          <w:rFonts w:asciiTheme="minorHAnsi" w:eastAsia="Times New Roman" w:hAnsiTheme="minorHAnsi" w:cstheme="minorHAnsi"/>
          <w:sz w:val="24"/>
          <w:szCs w:val="24"/>
        </w:rPr>
      </w:pPr>
      <w:r w:rsidRPr="00781608">
        <w:rPr>
          <w:rFonts w:asciiTheme="minorHAnsi" w:eastAsia="Times New Roman" w:hAnsiTheme="minorHAnsi" w:cstheme="minorHAnsi"/>
          <w:b/>
          <w:bCs/>
          <w:sz w:val="24"/>
          <w:szCs w:val="24"/>
        </w:rPr>
        <w:t xml:space="preserve">Compliance: </w:t>
      </w:r>
      <w:r w:rsidRPr="00781608">
        <w:rPr>
          <w:rFonts w:asciiTheme="minorHAnsi" w:eastAsia="Times New Roman" w:hAnsiTheme="minorHAnsi" w:cstheme="minorHAnsi"/>
          <w:sz w:val="24"/>
          <w:szCs w:val="24"/>
        </w:rPr>
        <w:t xml:space="preserve">UGVCL has submitted detailed report along with various Annexures </w:t>
      </w:r>
      <w:r w:rsidR="002F6A16" w:rsidRPr="00781608">
        <w:rPr>
          <w:rFonts w:asciiTheme="minorHAnsi" w:eastAsia="Times New Roman" w:hAnsiTheme="minorHAnsi" w:cstheme="minorHAnsi"/>
          <w:sz w:val="24"/>
          <w:szCs w:val="24"/>
        </w:rPr>
        <w:t>about category wise graph of consumption pattern, energy consumption of different category of consumers along with Summary Report vide letter no. UGVCL/R&amp;C/Commerce/GC/739 dated 14/08/2020.</w:t>
      </w:r>
    </w:p>
    <w:p w14:paraId="5B2A063E" w14:textId="77777777" w:rsidR="00A56DF7" w:rsidRPr="00781608" w:rsidRDefault="00A56DF7" w:rsidP="00E85684">
      <w:pPr>
        <w:pStyle w:val="ydp360db5b4yiv6248630976msolistparagraph"/>
        <w:spacing w:beforeAutospacing="0" w:after="240" w:afterAutospacing="0" w:line="276" w:lineRule="auto"/>
        <w:ind w:left="426"/>
        <w:jc w:val="both"/>
        <w:rPr>
          <w:rFonts w:asciiTheme="minorHAnsi" w:hAnsiTheme="minorHAnsi" w:cstheme="minorHAnsi"/>
          <w:sz w:val="24"/>
          <w:szCs w:val="24"/>
        </w:rPr>
      </w:pPr>
      <w:r w:rsidRPr="00781608">
        <w:rPr>
          <w:rFonts w:asciiTheme="minorHAnsi" w:hAnsiTheme="minorHAnsi" w:cstheme="minorHAnsi"/>
          <w:b/>
          <w:bCs/>
          <w:sz w:val="24"/>
          <w:szCs w:val="24"/>
        </w:rPr>
        <w:t>D.</w:t>
      </w:r>
      <w:r w:rsidRPr="00781608">
        <w:rPr>
          <w:rFonts w:asciiTheme="minorHAnsi" w:hAnsiTheme="minorHAnsi" w:cstheme="minorHAnsi"/>
          <w:sz w:val="24"/>
          <w:szCs w:val="24"/>
        </w:rPr>
        <w:t xml:space="preserve">   </w:t>
      </w:r>
      <w:r w:rsidRPr="00781608">
        <w:rPr>
          <w:rFonts w:asciiTheme="minorHAnsi" w:hAnsiTheme="minorHAnsi" w:cstheme="minorHAnsi"/>
          <w:b/>
          <w:bCs/>
          <w:sz w:val="24"/>
          <w:szCs w:val="24"/>
        </w:rPr>
        <w:t>Tariff Proposal</w:t>
      </w:r>
    </w:p>
    <w:p w14:paraId="763E6B9C" w14:textId="77777777" w:rsidR="00A56DF7" w:rsidRPr="00781608" w:rsidRDefault="00A56DF7" w:rsidP="00E85684">
      <w:pPr>
        <w:pStyle w:val="ydp360db5b4yiv6248630976msolistparagraph"/>
        <w:numPr>
          <w:ilvl w:val="0"/>
          <w:numId w:val="23"/>
        </w:numPr>
        <w:spacing w:beforeAutospacing="0" w:after="200" w:afterAutospacing="0" w:line="276" w:lineRule="auto"/>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 xml:space="preserve">A Green Tariff of Rs. 0.50 per unit has been proposed in the Tariff Petition for FY 2022-23. In this regard, it is requested to clarify the projected demand of Green Power and proposed sources to meet out such Green Power demand along with its basic cost and other costs attached to handle such renewable power. It is also requested to submit impact on Power Purchase cost and revenue of the Discom due to inclusion of Green Power price in the Tariff Schedule. It is also requested to submit the prospective plan for meeting RPO over and above the procurement of renewable energy for supplying demand of Green Power. </w:t>
      </w:r>
    </w:p>
    <w:p w14:paraId="53B33FE0" w14:textId="77777777" w:rsidR="007A41A6" w:rsidRPr="00781608" w:rsidRDefault="00836677" w:rsidP="00B33760">
      <w:pPr>
        <w:pStyle w:val="ydp360db5b4yiv6248630976msolistparagraph"/>
        <w:spacing w:after="200" w:line="276" w:lineRule="auto"/>
        <w:ind w:left="720"/>
        <w:jc w:val="both"/>
        <w:rPr>
          <w:rFonts w:asciiTheme="minorHAnsi" w:eastAsia="Times New Roman" w:hAnsiTheme="minorHAnsi" w:cstheme="minorHAnsi"/>
          <w:sz w:val="24"/>
          <w:szCs w:val="24"/>
        </w:rPr>
      </w:pPr>
      <w:r w:rsidRPr="00781608">
        <w:rPr>
          <w:rFonts w:asciiTheme="minorHAnsi" w:eastAsia="Times New Roman" w:hAnsiTheme="minorHAnsi" w:cstheme="minorHAnsi"/>
          <w:b/>
          <w:bCs/>
          <w:sz w:val="24"/>
          <w:szCs w:val="24"/>
        </w:rPr>
        <w:t>Compliance</w:t>
      </w:r>
      <w:r w:rsidR="00667B70" w:rsidRPr="00781608">
        <w:rPr>
          <w:rFonts w:asciiTheme="minorHAnsi" w:eastAsia="Times New Roman" w:hAnsiTheme="minorHAnsi" w:cstheme="minorHAnsi"/>
          <w:b/>
          <w:bCs/>
          <w:sz w:val="24"/>
          <w:szCs w:val="24"/>
        </w:rPr>
        <w:t>:</w:t>
      </w:r>
      <w:bookmarkStart w:id="17" w:name="_Hlk92460641"/>
      <w:r w:rsidR="008353B1" w:rsidRPr="00781608">
        <w:rPr>
          <w:rFonts w:asciiTheme="minorHAnsi" w:eastAsia="Times New Roman" w:hAnsiTheme="minorHAnsi" w:cstheme="minorHAnsi"/>
          <w:b/>
          <w:bCs/>
          <w:sz w:val="24"/>
          <w:szCs w:val="24"/>
        </w:rPr>
        <w:t xml:space="preserve"> </w:t>
      </w:r>
      <w:r w:rsidR="007A41A6" w:rsidRPr="00781608">
        <w:rPr>
          <w:rFonts w:asciiTheme="minorHAnsi" w:eastAsia="Times New Roman" w:hAnsiTheme="minorHAnsi" w:cstheme="minorHAnsi"/>
          <w:sz w:val="24"/>
          <w:szCs w:val="24"/>
        </w:rPr>
        <w:t xml:space="preserve">It is to state that the study for introduction of Green Tariff was undertaken in accordance with the directive issued by Hon’ble Commission in the Tariff order dated 31.03.2021. GUVNL/DISCOMs have </w:t>
      </w:r>
      <w:proofErr w:type="spellStart"/>
      <w:r w:rsidR="007A41A6" w:rsidRPr="00781608">
        <w:rPr>
          <w:rFonts w:asciiTheme="minorHAnsi" w:eastAsia="Times New Roman" w:hAnsiTheme="minorHAnsi" w:cstheme="minorHAnsi"/>
          <w:sz w:val="24"/>
          <w:szCs w:val="24"/>
        </w:rPr>
        <w:t>analyzed</w:t>
      </w:r>
      <w:proofErr w:type="spellEnd"/>
      <w:r w:rsidR="007A41A6" w:rsidRPr="00781608">
        <w:rPr>
          <w:rFonts w:asciiTheme="minorHAnsi" w:eastAsia="Times New Roman" w:hAnsiTheme="minorHAnsi" w:cstheme="minorHAnsi"/>
          <w:sz w:val="24"/>
          <w:szCs w:val="24"/>
        </w:rPr>
        <w:t xml:space="preserve"> tariff order of various States in the Country in relation to approach taken by various States for Green tariff. Upon analysis of the </w:t>
      </w:r>
      <w:proofErr w:type="gramStart"/>
      <w:r w:rsidR="007A41A6" w:rsidRPr="00781608">
        <w:rPr>
          <w:rFonts w:asciiTheme="minorHAnsi" w:eastAsia="Times New Roman" w:hAnsiTheme="minorHAnsi" w:cstheme="minorHAnsi"/>
          <w:sz w:val="24"/>
          <w:szCs w:val="24"/>
        </w:rPr>
        <w:t>Green</w:t>
      </w:r>
      <w:proofErr w:type="gramEnd"/>
      <w:r w:rsidR="007A41A6" w:rsidRPr="00781608">
        <w:rPr>
          <w:rFonts w:asciiTheme="minorHAnsi" w:eastAsia="Times New Roman" w:hAnsiTheme="minorHAnsi" w:cstheme="minorHAnsi"/>
          <w:sz w:val="24"/>
          <w:szCs w:val="24"/>
        </w:rPr>
        <w:t xml:space="preserve"> tariff introduced by various States including approach taken by Hon’ble Commission in respect of tariff order for Deendayal Port Trust (DPT) allowing premium of Rs. 0.50/Unit in the tariff for FY 2021-22, DISCOMs have suggested to consider introduction of </w:t>
      </w:r>
      <w:proofErr w:type="gramStart"/>
      <w:r w:rsidR="007A41A6" w:rsidRPr="00781608">
        <w:rPr>
          <w:rFonts w:asciiTheme="minorHAnsi" w:eastAsia="Times New Roman" w:hAnsiTheme="minorHAnsi" w:cstheme="minorHAnsi"/>
          <w:sz w:val="24"/>
          <w:szCs w:val="24"/>
        </w:rPr>
        <w:t>Green</w:t>
      </w:r>
      <w:proofErr w:type="gramEnd"/>
      <w:r w:rsidR="007A41A6" w:rsidRPr="00781608">
        <w:rPr>
          <w:rFonts w:asciiTheme="minorHAnsi" w:eastAsia="Times New Roman" w:hAnsiTheme="minorHAnsi" w:cstheme="minorHAnsi"/>
          <w:sz w:val="24"/>
          <w:szCs w:val="24"/>
        </w:rPr>
        <w:t xml:space="preserve"> tariff at premium of Rs. 0.50/Unit in line </w:t>
      </w:r>
      <w:r w:rsidR="007A41A6" w:rsidRPr="00781608">
        <w:rPr>
          <w:rFonts w:asciiTheme="minorHAnsi" w:eastAsia="Times New Roman" w:hAnsiTheme="minorHAnsi" w:cstheme="minorHAnsi"/>
          <w:sz w:val="24"/>
          <w:szCs w:val="24"/>
        </w:rPr>
        <w:lastRenderedPageBreak/>
        <w:t xml:space="preserve">with tariff order for DPT, being more appropriate and reasonable as compared to approach considered by other States. </w:t>
      </w:r>
    </w:p>
    <w:p w14:paraId="1EA64620" w14:textId="77777777" w:rsidR="007A41A6" w:rsidRPr="00781608" w:rsidRDefault="007A41A6" w:rsidP="00C343AF">
      <w:pPr>
        <w:spacing w:line="276" w:lineRule="auto"/>
        <w:ind w:left="720"/>
        <w:jc w:val="both"/>
        <w:rPr>
          <w:rFonts w:asciiTheme="minorHAnsi" w:eastAsia="Times New Roman" w:hAnsiTheme="minorHAnsi" w:cstheme="minorHAnsi"/>
          <w:sz w:val="24"/>
          <w:szCs w:val="24"/>
        </w:rPr>
      </w:pPr>
      <w:r w:rsidRPr="00781608">
        <w:rPr>
          <w:rFonts w:asciiTheme="minorHAnsi" w:eastAsia="Times New Roman" w:hAnsiTheme="minorHAnsi" w:cstheme="minorHAnsi"/>
          <w:sz w:val="24"/>
          <w:szCs w:val="24"/>
        </w:rPr>
        <w:t xml:space="preserve">It is further to state that this being a new concept, it is difficult to estimate the demand under the optional Green Tariff category.  </w:t>
      </w:r>
    </w:p>
    <w:bookmarkEnd w:id="17"/>
    <w:p w14:paraId="6BDCF39E" w14:textId="77777777" w:rsidR="00667B70" w:rsidRPr="00781608" w:rsidRDefault="00667B70" w:rsidP="00E85684">
      <w:pPr>
        <w:pStyle w:val="ydp360db5b4yiv6248630976msolistparagraph"/>
        <w:spacing w:beforeAutospacing="0" w:after="200" w:afterAutospacing="0" w:line="276" w:lineRule="auto"/>
        <w:ind w:left="720"/>
        <w:jc w:val="both"/>
        <w:rPr>
          <w:rFonts w:asciiTheme="minorHAnsi" w:eastAsia="Times New Roman" w:hAnsiTheme="minorHAnsi" w:cstheme="minorHAnsi"/>
          <w:sz w:val="24"/>
          <w:szCs w:val="24"/>
        </w:rPr>
      </w:pPr>
    </w:p>
    <w:p w14:paraId="167AE4DE" w14:textId="77777777" w:rsidR="006F68BB" w:rsidRPr="00781608" w:rsidRDefault="006F68BB" w:rsidP="00E85684">
      <w:pPr>
        <w:pStyle w:val="ydp360db5b4yiv6248630976msolistparagraph"/>
        <w:numPr>
          <w:ilvl w:val="0"/>
          <w:numId w:val="23"/>
        </w:numPr>
        <w:spacing w:beforeAutospacing="0" w:after="200" w:afterAutospacing="0" w:line="276" w:lineRule="auto"/>
        <w:jc w:val="both"/>
        <w:rPr>
          <w:rFonts w:asciiTheme="minorHAnsi" w:eastAsia="Times New Roman" w:hAnsiTheme="minorHAnsi" w:cstheme="minorHAnsi"/>
          <w:sz w:val="24"/>
          <w:szCs w:val="24"/>
        </w:rPr>
      </w:pPr>
      <w:bookmarkStart w:id="18" w:name="_Hlk92473250"/>
      <w:r w:rsidRPr="00781608">
        <w:rPr>
          <w:rFonts w:asciiTheme="minorHAnsi" w:eastAsia="Times New Roman" w:hAnsiTheme="minorHAnsi" w:cstheme="minorHAnsi"/>
          <w:sz w:val="24"/>
          <w:szCs w:val="24"/>
        </w:rPr>
        <w:t xml:space="preserve">Please provide the detail of Billing and Collection Efficiency for FY 2020-21. </w:t>
      </w:r>
    </w:p>
    <w:bookmarkEnd w:id="18"/>
    <w:p w14:paraId="03AAE4DB" w14:textId="77777777" w:rsidR="001E7990" w:rsidRPr="00781608" w:rsidRDefault="00842951" w:rsidP="00842951">
      <w:pPr>
        <w:spacing w:line="276" w:lineRule="auto"/>
        <w:ind w:left="720"/>
        <w:rPr>
          <w:rFonts w:asciiTheme="minorHAnsi" w:hAnsiTheme="minorHAnsi" w:cstheme="minorHAnsi"/>
          <w:b/>
          <w:bCs/>
          <w:sz w:val="24"/>
          <w:szCs w:val="24"/>
        </w:rPr>
      </w:pPr>
      <w:r w:rsidRPr="00781608">
        <w:rPr>
          <w:rFonts w:asciiTheme="minorHAnsi" w:hAnsiTheme="minorHAnsi" w:cstheme="minorHAnsi"/>
          <w:b/>
          <w:bCs/>
          <w:sz w:val="24"/>
          <w:szCs w:val="24"/>
        </w:rPr>
        <w:t>Compliance:</w:t>
      </w:r>
    </w:p>
    <w:p w14:paraId="4E1A4E9E" w14:textId="77777777" w:rsidR="00842951" w:rsidRPr="00781608" w:rsidRDefault="00842951" w:rsidP="00842951">
      <w:pPr>
        <w:spacing w:line="276" w:lineRule="auto"/>
        <w:ind w:left="720"/>
        <w:rPr>
          <w:rFonts w:asciiTheme="minorHAnsi" w:hAnsiTheme="minorHAnsi" w:cstheme="minorHAnsi"/>
          <w:b/>
          <w:bCs/>
          <w:sz w:val="24"/>
          <w:szCs w:val="24"/>
        </w:rPr>
      </w:pPr>
    </w:p>
    <w:tbl>
      <w:tblPr>
        <w:tblW w:w="4738" w:type="dxa"/>
        <w:tblInd w:w="918" w:type="dxa"/>
        <w:tblLook w:val="04A0" w:firstRow="1" w:lastRow="0" w:firstColumn="1" w:lastColumn="0" w:noHBand="0" w:noVBand="1"/>
      </w:tblPr>
      <w:tblGrid>
        <w:gridCol w:w="891"/>
        <w:gridCol w:w="2122"/>
        <w:gridCol w:w="1725"/>
      </w:tblGrid>
      <w:tr w:rsidR="00842951" w:rsidRPr="00781608" w14:paraId="61F4ADC1" w14:textId="77777777" w:rsidTr="000E5483">
        <w:trPr>
          <w:trHeight w:val="300"/>
        </w:trPr>
        <w:tc>
          <w:tcPr>
            <w:tcW w:w="891" w:type="dxa"/>
            <w:tcBorders>
              <w:top w:val="single" w:sz="4" w:space="0" w:color="auto"/>
              <w:left w:val="single" w:sz="4" w:space="0" w:color="auto"/>
              <w:bottom w:val="nil"/>
              <w:right w:val="single" w:sz="4" w:space="0" w:color="auto"/>
            </w:tcBorders>
            <w:shd w:val="clear" w:color="auto" w:fill="DEEAF6" w:themeFill="accent5" w:themeFillTint="33"/>
            <w:noWrap/>
            <w:vAlign w:val="center"/>
            <w:hideMark/>
          </w:tcPr>
          <w:p w14:paraId="6246F1EA" w14:textId="77777777" w:rsidR="00842951" w:rsidRPr="00781608" w:rsidRDefault="00842951" w:rsidP="00495AD4">
            <w:pPr>
              <w:jc w:val="center"/>
              <w:rPr>
                <w:rFonts w:asciiTheme="minorHAnsi" w:eastAsia="Times New Roman" w:hAnsiTheme="minorHAnsi" w:cstheme="minorHAnsi"/>
                <w:b/>
                <w:bCs/>
                <w:color w:val="000000"/>
                <w:lang w:val="en-US" w:eastAsia="en-US" w:bidi="gu-IN"/>
              </w:rPr>
            </w:pPr>
            <w:bookmarkStart w:id="19" w:name="_Hlk93154494"/>
            <w:r w:rsidRPr="00781608">
              <w:rPr>
                <w:rFonts w:asciiTheme="minorHAnsi" w:eastAsia="Times New Roman" w:hAnsiTheme="minorHAnsi" w:cstheme="minorHAnsi"/>
                <w:b/>
                <w:bCs/>
                <w:color w:val="000000"/>
                <w:lang w:val="en-US" w:eastAsia="en-US" w:bidi="gu-IN"/>
              </w:rPr>
              <w:t>Sr No</w:t>
            </w:r>
          </w:p>
        </w:tc>
        <w:tc>
          <w:tcPr>
            <w:tcW w:w="2122" w:type="dxa"/>
            <w:tcBorders>
              <w:top w:val="single" w:sz="4" w:space="0" w:color="auto"/>
              <w:left w:val="nil"/>
              <w:bottom w:val="nil"/>
              <w:right w:val="single" w:sz="4" w:space="0" w:color="auto"/>
            </w:tcBorders>
            <w:shd w:val="clear" w:color="auto" w:fill="DEEAF6" w:themeFill="accent5" w:themeFillTint="33"/>
            <w:noWrap/>
            <w:vAlign w:val="center"/>
            <w:hideMark/>
          </w:tcPr>
          <w:p w14:paraId="56BB9B23" w14:textId="0E7B5B18" w:rsidR="00842951" w:rsidRPr="00781608" w:rsidRDefault="000E5483" w:rsidP="00495AD4">
            <w:pPr>
              <w:jc w:val="cente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b/>
                <w:bCs/>
                <w:color w:val="000000"/>
                <w:lang w:val="en-US" w:eastAsia="en-US" w:bidi="gu-IN"/>
              </w:rPr>
              <w:t>Particular</w:t>
            </w:r>
          </w:p>
        </w:tc>
        <w:tc>
          <w:tcPr>
            <w:tcW w:w="1725"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763B7497" w14:textId="77777777" w:rsidR="00842951" w:rsidRPr="00781608" w:rsidRDefault="00842951" w:rsidP="00495AD4">
            <w:pPr>
              <w:jc w:val="center"/>
              <w:rPr>
                <w:rFonts w:asciiTheme="minorHAnsi" w:eastAsia="Times New Roman" w:hAnsiTheme="minorHAnsi" w:cstheme="minorHAnsi"/>
                <w:b/>
                <w:bCs/>
                <w:color w:val="000000"/>
                <w:lang w:val="en-US" w:eastAsia="en-US" w:bidi="gu-IN"/>
              </w:rPr>
            </w:pPr>
            <w:r w:rsidRPr="00781608">
              <w:rPr>
                <w:rFonts w:asciiTheme="minorHAnsi" w:eastAsia="Times New Roman" w:hAnsiTheme="minorHAnsi" w:cstheme="minorHAnsi"/>
                <w:b/>
                <w:bCs/>
                <w:color w:val="000000"/>
                <w:lang w:val="en-US" w:eastAsia="en-US" w:bidi="gu-IN"/>
              </w:rPr>
              <w:t>2020-21</w:t>
            </w:r>
          </w:p>
        </w:tc>
      </w:tr>
      <w:tr w:rsidR="00842951" w:rsidRPr="00781608" w14:paraId="186CAC31" w14:textId="77777777" w:rsidTr="000E5483">
        <w:trPr>
          <w:trHeight w:val="300"/>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AAA58" w14:textId="77777777" w:rsidR="00842951" w:rsidRPr="00781608" w:rsidRDefault="00842951" w:rsidP="00495AD4">
            <w:pPr>
              <w:jc w:val="cente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1</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14:paraId="4E25B4A8" w14:textId="67DCD9CC" w:rsidR="00842951" w:rsidRPr="00781608" w:rsidRDefault="00842951" w:rsidP="00495AD4">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Billing</w:t>
            </w:r>
            <w:r w:rsidR="000E5483" w:rsidRPr="00781608">
              <w:rPr>
                <w:rFonts w:asciiTheme="minorHAnsi" w:eastAsia="Times New Roman" w:hAnsiTheme="minorHAnsi" w:cstheme="minorHAnsi"/>
                <w:color w:val="000000"/>
                <w:lang w:val="en-US" w:eastAsia="en-US" w:bidi="gu-IN"/>
              </w:rPr>
              <w:t xml:space="preserve"> Efficiency</w:t>
            </w:r>
          </w:p>
        </w:tc>
        <w:tc>
          <w:tcPr>
            <w:tcW w:w="1725" w:type="dxa"/>
            <w:tcBorders>
              <w:top w:val="nil"/>
              <w:left w:val="nil"/>
              <w:bottom w:val="single" w:sz="4" w:space="0" w:color="auto"/>
              <w:right w:val="single" w:sz="4" w:space="0" w:color="auto"/>
            </w:tcBorders>
            <w:shd w:val="clear" w:color="auto" w:fill="auto"/>
            <w:noWrap/>
            <w:vAlign w:val="center"/>
            <w:hideMark/>
          </w:tcPr>
          <w:p w14:paraId="17905DD6" w14:textId="6EE97B89" w:rsidR="00842951" w:rsidRPr="00781608" w:rsidRDefault="00842951" w:rsidP="00842951">
            <w:pPr>
              <w:jc w:val="cente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93.</w:t>
            </w:r>
            <w:r w:rsidR="000A2083">
              <w:rPr>
                <w:rFonts w:asciiTheme="minorHAnsi" w:eastAsia="Times New Roman" w:hAnsiTheme="minorHAnsi" w:cstheme="minorHAnsi"/>
                <w:color w:val="000000"/>
                <w:lang w:val="en-US" w:eastAsia="en-US" w:bidi="gu-IN"/>
              </w:rPr>
              <w:t>55</w:t>
            </w:r>
            <w:r w:rsidR="000E5483" w:rsidRPr="00781608">
              <w:rPr>
                <w:rFonts w:asciiTheme="minorHAnsi" w:eastAsia="Times New Roman" w:hAnsiTheme="minorHAnsi" w:cstheme="minorHAnsi"/>
                <w:color w:val="000000"/>
                <w:lang w:val="en-US" w:eastAsia="en-US" w:bidi="gu-IN"/>
              </w:rPr>
              <w:t>%</w:t>
            </w:r>
          </w:p>
        </w:tc>
      </w:tr>
      <w:tr w:rsidR="00842951" w:rsidRPr="00781608" w14:paraId="3C7D7604" w14:textId="77777777" w:rsidTr="000E5483">
        <w:trPr>
          <w:trHeight w:val="3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1C16984A" w14:textId="77777777" w:rsidR="00842951" w:rsidRPr="00781608" w:rsidRDefault="00842951" w:rsidP="00495AD4">
            <w:pPr>
              <w:jc w:val="cente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2</w:t>
            </w:r>
          </w:p>
        </w:tc>
        <w:tc>
          <w:tcPr>
            <w:tcW w:w="2122" w:type="dxa"/>
            <w:tcBorders>
              <w:top w:val="nil"/>
              <w:left w:val="nil"/>
              <w:bottom w:val="single" w:sz="4" w:space="0" w:color="auto"/>
              <w:right w:val="single" w:sz="4" w:space="0" w:color="auto"/>
            </w:tcBorders>
            <w:shd w:val="clear" w:color="auto" w:fill="auto"/>
            <w:noWrap/>
            <w:vAlign w:val="bottom"/>
            <w:hideMark/>
          </w:tcPr>
          <w:p w14:paraId="29DD031C" w14:textId="75A4FE17" w:rsidR="00842951" w:rsidRPr="00781608" w:rsidRDefault="00842951" w:rsidP="00495AD4">
            <w:pP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Collection</w:t>
            </w:r>
            <w:r w:rsidR="000E5483" w:rsidRPr="00781608">
              <w:rPr>
                <w:rFonts w:asciiTheme="minorHAnsi" w:eastAsia="Times New Roman" w:hAnsiTheme="minorHAnsi" w:cstheme="minorHAnsi"/>
                <w:color w:val="000000"/>
                <w:lang w:val="en-US" w:eastAsia="en-US" w:bidi="gu-IN"/>
              </w:rPr>
              <w:t xml:space="preserve"> Efficiency</w:t>
            </w:r>
          </w:p>
        </w:tc>
        <w:tc>
          <w:tcPr>
            <w:tcW w:w="1725" w:type="dxa"/>
            <w:tcBorders>
              <w:top w:val="nil"/>
              <w:left w:val="nil"/>
              <w:bottom w:val="single" w:sz="4" w:space="0" w:color="auto"/>
              <w:right w:val="single" w:sz="4" w:space="0" w:color="auto"/>
            </w:tcBorders>
            <w:shd w:val="clear" w:color="auto" w:fill="auto"/>
            <w:noWrap/>
            <w:vAlign w:val="center"/>
            <w:hideMark/>
          </w:tcPr>
          <w:p w14:paraId="1ECD13CE" w14:textId="4E3A776E" w:rsidR="00842951" w:rsidRPr="00781608" w:rsidRDefault="00842951" w:rsidP="00842951">
            <w:pPr>
              <w:jc w:val="center"/>
              <w:rPr>
                <w:rFonts w:asciiTheme="minorHAnsi" w:eastAsia="Times New Roman" w:hAnsiTheme="minorHAnsi" w:cstheme="minorHAnsi"/>
                <w:color w:val="000000"/>
                <w:lang w:val="en-US" w:eastAsia="en-US" w:bidi="gu-IN"/>
              </w:rPr>
            </w:pPr>
            <w:r w:rsidRPr="00781608">
              <w:rPr>
                <w:rFonts w:asciiTheme="minorHAnsi" w:eastAsia="Times New Roman" w:hAnsiTheme="minorHAnsi" w:cstheme="minorHAnsi"/>
                <w:color w:val="000000"/>
                <w:lang w:val="en-US" w:eastAsia="en-US" w:bidi="gu-IN"/>
              </w:rPr>
              <w:t>101.64</w:t>
            </w:r>
            <w:r w:rsidR="000E5483" w:rsidRPr="00781608">
              <w:rPr>
                <w:rFonts w:asciiTheme="minorHAnsi" w:eastAsia="Times New Roman" w:hAnsiTheme="minorHAnsi" w:cstheme="minorHAnsi"/>
                <w:color w:val="000000"/>
                <w:lang w:val="en-US" w:eastAsia="en-US" w:bidi="gu-IN"/>
              </w:rPr>
              <w:t>%</w:t>
            </w:r>
          </w:p>
        </w:tc>
      </w:tr>
      <w:bookmarkEnd w:id="19"/>
    </w:tbl>
    <w:p w14:paraId="3425496D" w14:textId="77777777" w:rsidR="00842951" w:rsidRPr="00781608" w:rsidRDefault="00842951" w:rsidP="00842951">
      <w:pPr>
        <w:spacing w:line="276" w:lineRule="auto"/>
        <w:ind w:left="720"/>
        <w:rPr>
          <w:rFonts w:asciiTheme="minorHAnsi" w:hAnsiTheme="minorHAnsi" w:cstheme="minorHAnsi"/>
          <w:b/>
          <w:bCs/>
          <w:sz w:val="24"/>
          <w:szCs w:val="24"/>
        </w:rPr>
      </w:pPr>
    </w:p>
    <w:sectPr w:rsidR="00842951" w:rsidRPr="00781608" w:rsidSect="00BA7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9E2"/>
    <w:multiLevelType w:val="multilevel"/>
    <w:tmpl w:val="AD807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2B5DDA"/>
    <w:multiLevelType w:val="multilevel"/>
    <w:tmpl w:val="69D0C02E"/>
    <w:lvl w:ilvl="0">
      <w:start w:val="3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D143B81"/>
    <w:multiLevelType w:val="multilevel"/>
    <w:tmpl w:val="E93C3A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3DC6B0A"/>
    <w:multiLevelType w:val="multilevel"/>
    <w:tmpl w:val="5FB052A2"/>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A7C10B3"/>
    <w:multiLevelType w:val="multilevel"/>
    <w:tmpl w:val="9112CE6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DDB54F5"/>
    <w:multiLevelType w:val="multilevel"/>
    <w:tmpl w:val="27AE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3533D7"/>
    <w:multiLevelType w:val="hybridMultilevel"/>
    <w:tmpl w:val="1E982DA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D8C0DC8C">
      <w:start w:val="1"/>
      <w:numFmt w:val="upperRoman"/>
      <w:lvlText w:val="(%4)"/>
      <w:lvlJc w:val="left"/>
      <w:pPr>
        <w:ind w:left="3390" w:hanging="87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7395182"/>
    <w:multiLevelType w:val="multilevel"/>
    <w:tmpl w:val="5350A428"/>
    <w:lvl w:ilvl="0">
      <w:start w:val="3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C1E149F"/>
    <w:multiLevelType w:val="multilevel"/>
    <w:tmpl w:val="7D5E1FA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DF93D5A"/>
    <w:multiLevelType w:val="multilevel"/>
    <w:tmpl w:val="CB4A4AF2"/>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FC35F6B"/>
    <w:multiLevelType w:val="multilevel"/>
    <w:tmpl w:val="C7D842A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6F57940"/>
    <w:multiLevelType w:val="multilevel"/>
    <w:tmpl w:val="9EB401DA"/>
    <w:lvl w:ilvl="0">
      <w:start w:val="2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74E35AC"/>
    <w:multiLevelType w:val="multilevel"/>
    <w:tmpl w:val="7FC6686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7A551EF"/>
    <w:multiLevelType w:val="multilevel"/>
    <w:tmpl w:val="298AD808"/>
    <w:lvl w:ilvl="0">
      <w:start w:val="3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F454E86"/>
    <w:multiLevelType w:val="multilevel"/>
    <w:tmpl w:val="6C9AD2EE"/>
    <w:lvl w:ilvl="0">
      <w:start w:val="2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06A351C"/>
    <w:multiLevelType w:val="multilevel"/>
    <w:tmpl w:val="7478C366"/>
    <w:lvl w:ilvl="0">
      <w:start w:val="2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7772701"/>
    <w:multiLevelType w:val="hybridMultilevel"/>
    <w:tmpl w:val="2826A928"/>
    <w:lvl w:ilvl="0" w:tplc="D3587452">
      <w:start w:val="1"/>
      <w:numFmt w:val="lowerRoman"/>
      <w:lvlText w:val="(%1)"/>
      <w:lvlJc w:val="left"/>
      <w:pPr>
        <w:ind w:left="2430" w:hanging="360"/>
      </w:pPr>
      <w:rPr>
        <w:rFonts w:hint="default"/>
        <w:b w:val="0"/>
        <w:bCs/>
      </w:rPr>
    </w:lvl>
    <w:lvl w:ilvl="1" w:tplc="40090019">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17" w15:restartNumberingAfterBreak="0">
    <w:nsid w:val="5D4D1465"/>
    <w:multiLevelType w:val="multilevel"/>
    <w:tmpl w:val="4D70444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1B34DDF"/>
    <w:multiLevelType w:val="multilevel"/>
    <w:tmpl w:val="3850C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3E0453A"/>
    <w:multiLevelType w:val="multilevel"/>
    <w:tmpl w:val="069620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8FF4AD5"/>
    <w:multiLevelType w:val="multilevel"/>
    <w:tmpl w:val="25D8585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F0260C7"/>
    <w:multiLevelType w:val="multilevel"/>
    <w:tmpl w:val="110073EA"/>
    <w:lvl w:ilvl="0">
      <w:start w:val="2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1082060"/>
    <w:multiLevelType w:val="multilevel"/>
    <w:tmpl w:val="5CE0867E"/>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1B16DD6"/>
    <w:multiLevelType w:val="multilevel"/>
    <w:tmpl w:val="FDCABE1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460582A"/>
    <w:multiLevelType w:val="hybridMultilevel"/>
    <w:tmpl w:val="1B60AD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56DF7"/>
    <w:rsid w:val="00005CCE"/>
    <w:rsid w:val="00026947"/>
    <w:rsid w:val="00033A56"/>
    <w:rsid w:val="000617F6"/>
    <w:rsid w:val="000628A6"/>
    <w:rsid w:val="000724B9"/>
    <w:rsid w:val="00090F6D"/>
    <w:rsid w:val="000A2083"/>
    <w:rsid w:val="000A7402"/>
    <w:rsid w:val="000B0A08"/>
    <w:rsid w:val="000B7455"/>
    <w:rsid w:val="000E44E4"/>
    <w:rsid w:val="000E5483"/>
    <w:rsid w:val="000F6EE8"/>
    <w:rsid w:val="00104452"/>
    <w:rsid w:val="001135D2"/>
    <w:rsid w:val="0012559C"/>
    <w:rsid w:val="001501CA"/>
    <w:rsid w:val="00150326"/>
    <w:rsid w:val="001526F4"/>
    <w:rsid w:val="00161B44"/>
    <w:rsid w:val="00173F0F"/>
    <w:rsid w:val="001A4B81"/>
    <w:rsid w:val="001B6F45"/>
    <w:rsid w:val="001D71E1"/>
    <w:rsid w:val="001E0010"/>
    <w:rsid w:val="001E7990"/>
    <w:rsid w:val="00203FA0"/>
    <w:rsid w:val="00223C1F"/>
    <w:rsid w:val="002408FB"/>
    <w:rsid w:val="0025679A"/>
    <w:rsid w:val="00286883"/>
    <w:rsid w:val="002B6B67"/>
    <w:rsid w:val="002D5A3C"/>
    <w:rsid w:val="002E041C"/>
    <w:rsid w:val="002E670D"/>
    <w:rsid w:val="002F2F2B"/>
    <w:rsid w:val="002F3508"/>
    <w:rsid w:val="002F6A16"/>
    <w:rsid w:val="00334ACA"/>
    <w:rsid w:val="00373C74"/>
    <w:rsid w:val="00385AE5"/>
    <w:rsid w:val="003A005B"/>
    <w:rsid w:val="003B6A8E"/>
    <w:rsid w:val="003C247B"/>
    <w:rsid w:val="003C6B20"/>
    <w:rsid w:val="003D1428"/>
    <w:rsid w:val="003E53B0"/>
    <w:rsid w:val="004013AE"/>
    <w:rsid w:val="00402B18"/>
    <w:rsid w:val="004555ED"/>
    <w:rsid w:val="004635F6"/>
    <w:rsid w:val="00473730"/>
    <w:rsid w:val="00480C0C"/>
    <w:rsid w:val="00483BB1"/>
    <w:rsid w:val="004866E8"/>
    <w:rsid w:val="004C4F94"/>
    <w:rsid w:val="004E1AC7"/>
    <w:rsid w:val="004F5386"/>
    <w:rsid w:val="00547830"/>
    <w:rsid w:val="005526F4"/>
    <w:rsid w:val="00557F41"/>
    <w:rsid w:val="0057787A"/>
    <w:rsid w:val="00582A8B"/>
    <w:rsid w:val="00585168"/>
    <w:rsid w:val="005975B8"/>
    <w:rsid w:val="005A72EA"/>
    <w:rsid w:val="005B0885"/>
    <w:rsid w:val="005E03AF"/>
    <w:rsid w:val="005F7D50"/>
    <w:rsid w:val="00602685"/>
    <w:rsid w:val="00606347"/>
    <w:rsid w:val="00616886"/>
    <w:rsid w:val="0062530F"/>
    <w:rsid w:val="00646502"/>
    <w:rsid w:val="00646904"/>
    <w:rsid w:val="00667B70"/>
    <w:rsid w:val="00667C58"/>
    <w:rsid w:val="0067054B"/>
    <w:rsid w:val="00685816"/>
    <w:rsid w:val="006A2F70"/>
    <w:rsid w:val="006B2AD3"/>
    <w:rsid w:val="006B5C26"/>
    <w:rsid w:val="006C5F71"/>
    <w:rsid w:val="006D78F8"/>
    <w:rsid w:val="006E2D9F"/>
    <w:rsid w:val="006E65D5"/>
    <w:rsid w:val="006F68BB"/>
    <w:rsid w:val="00716577"/>
    <w:rsid w:val="0072692A"/>
    <w:rsid w:val="00727CF1"/>
    <w:rsid w:val="00727E26"/>
    <w:rsid w:val="00732FE1"/>
    <w:rsid w:val="00781608"/>
    <w:rsid w:val="007A41A6"/>
    <w:rsid w:val="007B77AF"/>
    <w:rsid w:val="007C1958"/>
    <w:rsid w:val="008066DC"/>
    <w:rsid w:val="00806A20"/>
    <w:rsid w:val="008132F8"/>
    <w:rsid w:val="0081773D"/>
    <w:rsid w:val="00824C01"/>
    <w:rsid w:val="00833FFB"/>
    <w:rsid w:val="008347AB"/>
    <w:rsid w:val="008353B1"/>
    <w:rsid w:val="008365A1"/>
    <w:rsid w:val="00836677"/>
    <w:rsid w:val="0084051A"/>
    <w:rsid w:val="00842951"/>
    <w:rsid w:val="00873C71"/>
    <w:rsid w:val="00882D75"/>
    <w:rsid w:val="00885374"/>
    <w:rsid w:val="008857CE"/>
    <w:rsid w:val="00885AC6"/>
    <w:rsid w:val="00893217"/>
    <w:rsid w:val="008B6B31"/>
    <w:rsid w:val="008C536A"/>
    <w:rsid w:val="008C6F55"/>
    <w:rsid w:val="008E2BCF"/>
    <w:rsid w:val="008F4D65"/>
    <w:rsid w:val="009071A4"/>
    <w:rsid w:val="0090799F"/>
    <w:rsid w:val="009161E3"/>
    <w:rsid w:val="009164C6"/>
    <w:rsid w:val="00934E88"/>
    <w:rsid w:val="00935950"/>
    <w:rsid w:val="0093640B"/>
    <w:rsid w:val="009533C7"/>
    <w:rsid w:val="00961353"/>
    <w:rsid w:val="00963E61"/>
    <w:rsid w:val="00971744"/>
    <w:rsid w:val="0097338F"/>
    <w:rsid w:val="00980462"/>
    <w:rsid w:val="009B323A"/>
    <w:rsid w:val="009B790B"/>
    <w:rsid w:val="009C62E1"/>
    <w:rsid w:val="009C745C"/>
    <w:rsid w:val="00A4383A"/>
    <w:rsid w:val="00A471EB"/>
    <w:rsid w:val="00A54A63"/>
    <w:rsid w:val="00A55237"/>
    <w:rsid w:val="00A56DF7"/>
    <w:rsid w:val="00A734A3"/>
    <w:rsid w:val="00A918BA"/>
    <w:rsid w:val="00A921DD"/>
    <w:rsid w:val="00AB79DF"/>
    <w:rsid w:val="00AD7903"/>
    <w:rsid w:val="00AF6934"/>
    <w:rsid w:val="00B30E26"/>
    <w:rsid w:val="00B33760"/>
    <w:rsid w:val="00B43571"/>
    <w:rsid w:val="00B5321B"/>
    <w:rsid w:val="00B67C7A"/>
    <w:rsid w:val="00B73945"/>
    <w:rsid w:val="00B916D2"/>
    <w:rsid w:val="00B94F39"/>
    <w:rsid w:val="00BA78CB"/>
    <w:rsid w:val="00BB1BF3"/>
    <w:rsid w:val="00C00E1D"/>
    <w:rsid w:val="00C01A41"/>
    <w:rsid w:val="00C0686E"/>
    <w:rsid w:val="00C33EC1"/>
    <w:rsid w:val="00C343AF"/>
    <w:rsid w:val="00C46C0F"/>
    <w:rsid w:val="00C56640"/>
    <w:rsid w:val="00C56BE0"/>
    <w:rsid w:val="00C73B36"/>
    <w:rsid w:val="00C81B55"/>
    <w:rsid w:val="00C879CF"/>
    <w:rsid w:val="00CB575C"/>
    <w:rsid w:val="00CB7B4F"/>
    <w:rsid w:val="00CF6614"/>
    <w:rsid w:val="00D07242"/>
    <w:rsid w:val="00D14D9A"/>
    <w:rsid w:val="00D15BCF"/>
    <w:rsid w:val="00D30F5E"/>
    <w:rsid w:val="00D31F92"/>
    <w:rsid w:val="00D35E4E"/>
    <w:rsid w:val="00D44FC3"/>
    <w:rsid w:val="00D94A2A"/>
    <w:rsid w:val="00DF19CF"/>
    <w:rsid w:val="00E0692B"/>
    <w:rsid w:val="00E07B58"/>
    <w:rsid w:val="00E21128"/>
    <w:rsid w:val="00E50307"/>
    <w:rsid w:val="00E54D67"/>
    <w:rsid w:val="00E70396"/>
    <w:rsid w:val="00E85684"/>
    <w:rsid w:val="00E94A46"/>
    <w:rsid w:val="00EA50F2"/>
    <w:rsid w:val="00EB57C8"/>
    <w:rsid w:val="00F02491"/>
    <w:rsid w:val="00F0477C"/>
    <w:rsid w:val="00F25CAB"/>
    <w:rsid w:val="00F714FC"/>
    <w:rsid w:val="00FD46B5"/>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842F"/>
  <w15:docId w15:val="{5670797E-3641-46C4-9687-333D0016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DF7"/>
    <w:pPr>
      <w:spacing w:after="0" w:line="240" w:lineRule="auto"/>
    </w:pPr>
    <w:rPr>
      <w:rFonts w:ascii="Calibri"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360db5b4yiv6248630976msonormal">
    <w:name w:val="ydp360db5b4yiv6248630976msonormal"/>
    <w:basedOn w:val="Normal"/>
    <w:rsid w:val="00A56DF7"/>
    <w:pPr>
      <w:spacing w:before="100" w:beforeAutospacing="1" w:after="100" w:afterAutospacing="1"/>
    </w:pPr>
  </w:style>
  <w:style w:type="paragraph" w:customStyle="1" w:styleId="ydp360db5b4yiv6248630976msolistparagraph">
    <w:name w:val="ydp360db5b4yiv6248630976msolistparagraph"/>
    <w:basedOn w:val="Normal"/>
    <w:rsid w:val="00A56DF7"/>
    <w:pPr>
      <w:spacing w:before="100" w:beforeAutospacing="1" w:after="100" w:afterAutospacing="1"/>
    </w:pPr>
  </w:style>
  <w:style w:type="paragraph" w:styleId="ListParagraph">
    <w:name w:val="List Paragraph"/>
    <w:aliases w:val="Resume Title,Citation List,heading 4,Graphic,List Paragraph1,1st level - Bullet List Paragraph,Lettre d'introduction,Paragrafo elenco,Bullet list,C-Change,List Paragraph_Table bullets"/>
    <w:basedOn w:val="Normal"/>
    <w:link w:val="ListParagraphChar"/>
    <w:uiPriority w:val="34"/>
    <w:qFormat/>
    <w:rsid w:val="000E44E4"/>
    <w:pPr>
      <w:ind w:left="720"/>
      <w:contextualSpacing/>
    </w:pPr>
  </w:style>
  <w:style w:type="character" w:customStyle="1" w:styleId="ListParagraphChar">
    <w:name w:val="List Paragraph Char"/>
    <w:aliases w:val="Resume Title Char,Citation List Char,heading 4 Char,Graphic Char,List Paragraph1 Char,1st level - Bullet List Paragraph Char,Lettre d'introduction Char,Paragrafo elenco Char,Bullet list Char,C-Change Char"/>
    <w:basedOn w:val="DefaultParagraphFont"/>
    <w:link w:val="ListParagraph"/>
    <w:uiPriority w:val="34"/>
    <w:locked/>
    <w:rsid w:val="00334ACA"/>
    <w:rPr>
      <w:rFonts w:ascii="Calibri" w:hAnsi="Calibri" w:cs="Calibri"/>
      <w:lang w:eastAsia="en-IN"/>
    </w:rPr>
  </w:style>
  <w:style w:type="table" w:styleId="TableGrid">
    <w:name w:val="Table Grid"/>
    <w:basedOn w:val="TableNormal"/>
    <w:uiPriority w:val="59"/>
    <w:rsid w:val="0062530F"/>
    <w:pPr>
      <w:spacing w:after="0" w:line="240" w:lineRule="auto"/>
    </w:pPr>
    <w:rPr>
      <w:lang w:val="en-US" w:bidi="gu-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81B55"/>
    <w:rPr>
      <w:rFonts w:ascii="Tahoma" w:hAnsi="Tahoma" w:cs="Tahoma"/>
      <w:sz w:val="16"/>
      <w:szCs w:val="16"/>
    </w:rPr>
  </w:style>
  <w:style w:type="character" w:customStyle="1" w:styleId="BalloonTextChar">
    <w:name w:val="Balloon Text Char"/>
    <w:basedOn w:val="DefaultParagraphFont"/>
    <w:link w:val="BalloonText"/>
    <w:uiPriority w:val="99"/>
    <w:semiHidden/>
    <w:rsid w:val="00C81B55"/>
    <w:rPr>
      <w:rFonts w:ascii="Tahoma" w:hAnsi="Tahoma" w:cs="Tahoma"/>
      <w:sz w:val="16"/>
      <w:szCs w:val="16"/>
      <w:lang w:eastAsia="en-IN"/>
    </w:rPr>
  </w:style>
  <w:style w:type="character" w:styleId="CommentReference">
    <w:name w:val="annotation reference"/>
    <w:basedOn w:val="DefaultParagraphFont"/>
    <w:uiPriority w:val="99"/>
    <w:semiHidden/>
    <w:unhideWhenUsed/>
    <w:rsid w:val="00B916D2"/>
    <w:rPr>
      <w:sz w:val="16"/>
      <w:szCs w:val="16"/>
    </w:rPr>
  </w:style>
  <w:style w:type="paragraph" w:styleId="CommentText">
    <w:name w:val="annotation text"/>
    <w:basedOn w:val="Normal"/>
    <w:link w:val="CommentTextChar"/>
    <w:uiPriority w:val="99"/>
    <w:unhideWhenUsed/>
    <w:rsid w:val="00B916D2"/>
    <w:rPr>
      <w:sz w:val="20"/>
      <w:szCs w:val="20"/>
    </w:rPr>
  </w:style>
  <w:style w:type="character" w:customStyle="1" w:styleId="CommentTextChar">
    <w:name w:val="Comment Text Char"/>
    <w:basedOn w:val="DefaultParagraphFont"/>
    <w:link w:val="CommentText"/>
    <w:uiPriority w:val="99"/>
    <w:rsid w:val="00B916D2"/>
    <w:rPr>
      <w:rFonts w:ascii="Calibri" w:hAnsi="Calibri" w:cs="Calibri"/>
      <w:sz w:val="20"/>
      <w:szCs w:val="20"/>
      <w:lang w:eastAsia="en-IN"/>
    </w:rPr>
  </w:style>
  <w:style w:type="paragraph" w:styleId="CommentSubject">
    <w:name w:val="annotation subject"/>
    <w:basedOn w:val="CommentText"/>
    <w:next w:val="CommentText"/>
    <w:link w:val="CommentSubjectChar"/>
    <w:uiPriority w:val="99"/>
    <w:semiHidden/>
    <w:unhideWhenUsed/>
    <w:rsid w:val="00B916D2"/>
    <w:rPr>
      <w:b/>
      <w:bCs/>
    </w:rPr>
  </w:style>
  <w:style w:type="character" w:customStyle="1" w:styleId="CommentSubjectChar">
    <w:name w:val="Comment Subject Char"/>
    <w:basedOn w:val="CommentTextChar"/>
    <w:link w:val="CommentSubject"/>
    <w:uiPriority w:val="99"/>
    <w:semiHidden/>
    <w:rsid w:val="00B916D2"/>
    <w:rPr>
      <w:rFonts w:ascii="Calibri" w:hAnsi="Calibri" w:cs="Calibri"/>
      <w:b/>
      <w:bCs/>
      <w:sz w:val="20"/>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04855">
      <w:bodyDiv w:val="1"/>
      <w:marLeft w:val="0"/>
      <w:marRight w:val="0"/>
      <w:marTop w:val="0"/>
      <w:marBottom w:val="0"/>
      <w:divBdr>
        <w:top w:val="none" w:sz="0" w:space="0" w:color="auto"/>
        <w:left w:val="none" w:sz="0" w:space="0" w:color="auto"/>
        <w:bottom w:val="none" w:sz="0" w:space="0" w:color="auto"/>
        <w:right w:val="none" w:sz="0" w:space="0" w:color="auto"/>
      </w:divBdr>
    </w:div>
    <w:div w:id="774711102">
      <w:bodyDiv w:val="1"/>
      <w:marLeft w:val="0"/>
      <w:marRight w:val="0"/>
      <w:marTop w:val="0"/>
      <w:marBottom w:val="0"/>
      <w:divBdr>
        <w:top w:val="none" w:sz="0" w:space="0" w:color="auto"/>
        <w:left w:val="none" w:sz="0" w:space="0" w:color="auto"/>
        <w:bottom w:val="none" w:sz="0" w:space="0" w:color="auto"/>
        <w:right w:val="none" w:sz="0" w:space="0" w:color="auto"/>
      </w:divBdr>
    </w:div>
    <w:div w:id="925303544">
      <w:bodyDiv w:val="1"/>
      <w:marLeft w:val="0"/>
      <w:marRight w:val="0"/>
      <w:marTop w:val="0"/>
      <w:marBottom w:val="0"/>
      <w:divBdr>
        <w:top w:val="none" w:sz="0" w:space="0" w:color="auto"/>
        <w:left w:val="none" w:sz="0" w:space="0" w:color="auto"/>
        <w:bottom w:val="none" w:sz="0" w:space="0" w:color="auto"/>
        <w:right w:val="none" w:sz="0" w:space="0" w:color="auto"/>
      </w:divBdr>
    </w:div>
    <w:div w:id="1000624132">
      <w:bodyDiv w:val="1"/>
      <w:marLeft w:val="0"/>
      <w:marRight w:val="0"/>
      <w:marTop w:val="0"/>
      <w:marBottom w:val="0"/>
      <w:divBdr>
        <w:top w:val="none" w:sz="0" w:space="0" w:color="auto"/>
        <w:left w:val="none" w:sz="0" w:space="0" w:color="auto"/>
        <w:bottom w:val="none" w:sz="0" w:space="0" w:color="auto"/>
        <w:right w:val="none" w:sz="0" w:space="0" w:color="auto"/>
      </w:divBdr>
    </w:div>
    <w:div w:id="1107387177">
      <w:bodyDiv w:val="1"/>
      <w:marLeft w:val="0"/>
      <w:marRight w:val="0"/>
      <w:marTop w:val="0"/>
      <w:marBottom w:val="0"/>
      <w:divBdr>
        <w:top w:val="none" w:sz="0" w:space="0" w:color="auto"/>
        <w:left w:val="none" w:sz="0" w:space="0" w:color="auto"/>
        <w:bottom w:val="none" w:sz="0" w:space="0" w:color="auto"/>
        <w:right w:val="none" w:sz="0" w:space="0" w:color="auto"/>
      </w:divBdr>
    </w:div>
    <w:div w:id="1131366035">
      <w:bodyDiv w:val="1"/>
      <w:marLeft w:val="0"/>
      <w:marRight w:val="0"/>
      <w:marTop w:val="0"/>
      <w:marBottom w:val="0"/>
      <w:divBdr>
        <w:top w:val="none" w:sz="0" w:space="0" w:color="auto"/>
        <w:left w:val="none" w:sz="0" w:space="0" w:color="auto"/>
        <w:bottom w:val="none" w:sz="0" w:space="0" w:color="auto"/>
        <w:right w:val="none" w:sz="0" w:space="0" w:color="auto"/>
      </w:divBdr>
    </w:div>
    <w:div w:id="1349529072">
      <w:bodyDiv w:val="1"/>
      <w:marLeft w:val="0"/>
      <w:marRight w:val="0"/>
      <w:marTop w:val="0"/>
      <w:marBottom w:val="0"/>
      <w:divBdr>
        <w:top w:val="none" w:sz="0" w:space="0" w:color="auto"/>
        <w:left w:val="none" w:sz="0" w:space="0" w:color="auto"/>
        <w:bottom w:val="none" w:sz="0" w:space="0" w:color="auto"/>
        <w:right w:val="none" w:sz="0" w:space="0" w:color="auto"/>
      </w:divBdr>
    </w:div>
    <w:div w:id="1387149020">
      <w:bodyDiv w:val="1"/>
      <w:marLeft w:val="0"/>
      <w:marRight w:val="0"/>
      <w:marTop w:val="0"/>
      <w:marBottom w:val="0"/>
      <w:divBdr>
        <w:top w:val="none" w:sz="0" w:space="0" w:color="auto"/>
        <w:left w:val="none" w:sz="0" w:space="0" w:color="auto"/>
        <w:bottom w:val="none" w:sz="0" w:space="0" w:color="auto"/>
        <w:right w:val="none" w:sz="0" w:space="0" w:color="auto"/>
      </w:divBdr>
    </w:div>
    <w:div w:id="2037581702">
      <w:bodyDiv w:val="1"/>
      <w:marLeft w:val="0"/>
      <w:marRight w:val="0"/>
      <w:marTop w:val="0"/>
      <w:marBottom w:val="0"/>
      <w:divBdr>
        <w:top w:val="none" w:sz="0" w:space="0" w:color="auto"/>
        <w:left w:val="none" w:sz="0" w:space="0" w:color="auto"/>
        <w:bottom w:val="none" w:sz="0" w:space="0" w:color="auto"/>
        <w:right w:val="none" w:sz="0" w:space="0" w:color="auto"/>
      </w:divBdr>
    </w:div>
    <w:div w:id="208726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Pages>
  <Words>7703</Words>
  <Characters>43911</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Naresh Desai</dc:creator>
  <cp:lastModifiedBy>Naresh Desai</cp:lastModifiedBy>
  <cp:revision>15</cp:revision>
  <dcterms:created xsi:type="dcterms:W3CDTF">2022-01-13T11:55:00Z</dcterms:created>
  <dcterms:modified xsi:type="dcterms:W3CDTF">2022-01-15T15:30:00Z</dcterms:modified>
</cp:coreProperties>
</file>