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D68" w:rsidRPr="0020255D" w:rsidRDefault="00D20D68" w:rsidP="00D20D68">
      <w:pPr>
        <w:rPr>
          <w:rFonts w:ascii="Book Antiqua" w:hAnsi="Book Antiqua"/>
          <w:color w:val="000000"/>
        </w:rPr>
      </w:pPr>
      <w:r w:rsidRPr="0020255D">
        <w:rPr>
          <w:rFonts w:ascii="Book Antiqua" w:hAnsi="Book Antiqua"/>
          <w:color w:val="000000"/>
        </w:rPr>
        <w:t>Respected Sir/Madam,</w:t>
      </w:r>
    </w:p>
    <w:p w:rsidR="00D20D68" w:rsidRPr="0020255D" w:rsidRDefault="00D20D68" w:rsidP="00D20D68">
      <w:pPr>
        <w:rPr>
          <w:rFonts w:ascii="Book Antiqua" w:hAnsi="Book Antiqua"/>
          <w:color w:val="000000"/>
        </w:rPr>
      </w:pPr>
      <w:r w:rsidRPr="0020255D">
        <w:rPr>
          <w:rFonts w:ascii="Book Antiqua" w:hAnsi="Book Antiqua"/>
          <w:color w:val="000000"/>
        </w:rPr>
        <w:t> </w:t>
      </w:r>
    </w:p>
    <w:p w:rsidR="00D20D68" w:rsidRPr="0020255D" w:rsidRDefault="00D20D68" w:rsidP="0020255D">
      <w:pPr>
        <w:spacing w:line="276" w:lineRule="auto"/>
        <w:rPr>
          <w:rFonts w:ascii="Book Antiqua" w:hAnsi="Book Antiqua"/>
          <w:color w:val="000000"/>
        </w:rPr>
      </w:pPr>
      <w:r w:rsidRPr="0020255D">
        <w:rPr>
          <w:rFonts w:ascii="Book Antiqua" w:hAnsi="Book Antiqua"/>
          <w:color w:val="000000"/>
        </w:rPr>
        <w:t xml:space="preserve">I am directed to forward the below mentioned additional details required from M/s UGVCL in the Petition No. 1839/2019 for True up of FY 2018-19 and Determination of Tariff for FY 2020-21. You are requested to submit those details in </w:t>
      </w:r>
      <w:r w:rsidRPr="0020255D">
        <w:rPr>
          <w:rFonts w:ascii="Book Antiqua" w:hAnsi="Book Antiqua"/>
          <w:b/>
          <w:bCs/>
          <w:color w:val="000000"/>
          <w:u w:val="single"/>
        </w:rPr>
        <w:t>soft copy (in MS Excel/PDF) and hard copy within 15 days.</w:t>
      </w:r>
    </w:p>
    <w:p w:rsidR="00D20D68" w:rsidRPr="0020255D" w:rsidRDefault="00D20D68" w:rsidP="0020255D">
      <w:pPr>
        <w:spacing w:line="276" w:lineRule="auto"/>
        <w:rPr>
          <w:rFonts w:ascii="Book Antiqua" w:hAnsi="Book Antiqua"/>
          <w:color w:val="000000"/>
        </w:rPr>
      </w:pPr>
    </w:p>
    <w:p w:rsidR="00D20D68" w:rsidRPr="005C597E" w:rsidRDefault="00D20D68" w:rsidP="00D20D68">
      <w:pPr>
        <w:numPr>
          <w:ilvl w:val="0"/>
          <w:numId w:val="1"/>
        </w:numPr>
        <w:spacing w:after="120" w:line="312" w:lineRule="atLeast"/>
        <w:jc w:val="both"/>
        <w:rPr>
          <w:rFonts w:eastAsia="Times New Roman"/>
          <w:color w:val="000000"/>
          <w:sz w:val="28"/>
          <w:szCs w:val="28"/>
        </w:rPr>
      </w:pPr>
      <w:r w:rsidRPr="005C597E">
        <w:rPr>
          <w:rFonts w:ascii="Book Antiqua" w:eastAsia="Times New Roman" w:hAnsi="Book Antiqua"/>
          <w:b/>
          <w:bCs/>
          <w:color w:val="000000"/>
          <w:sz w:val="28"/>
          <w:szCs w:val="28"/>
        </w:rPr>
        <w:t>True-Up for FY 2018-19 </w:t>
      </w:r>
    </w:p>
    <w:p w:rsidR="00D20D68" w:rsidRDefault="00D20D68" w:rsidP="00D20D68">
      <w:pPr>
        <w:spacing w:after="120" w:line="312" w:lineRule="atLeast"/>
        <w:ind w:left="630"/>
        <w:jc w:val="both"/>
        <w:rPr>
          <w:color w:val="000000"/>
        </w:rPr>
      </w:pPr>
      <w:r>
        <w:rPr>
          <w:rFonts w:ascii="Book Antiqua" w:hAnsi="Book Antiqua"/>
          <w:color w:val="000000"/>
        </w:rPr>
        <w:t> </w:t>
      </w:r>
    </w:p>
    <w:p w:rsidR="00D20D68" w:rsidRPr="0020255D" w:rsidRDefault="00D20D68" w:rsidP="005C597E">
      <w:pPr>
        <w:numPr>
          <w:ilvl w:val="0"/>
          <w:numId w:val="2"/>
        </w:numPr>
        <w:spacing w:after="240" w:line="276" w:lineRule="auto"/>
        <w:ind w:left="630" w:hanging="357"/>
        <w:jc w:val="both"/>
        <w:rPr>
          <w:b/>
          <w:bCs/>
          <w:color w:val="000000"/>
        </w:rPr>
      </w:pPr>
      <w:r w:rsidRPr="0020255D">
        <w:rPr>
          <w:rFonts w:ascii="Book Antiqua" w:hAnsi="Book Antiqua"/>
          <w:b/>
          <w:bCs/>
          <w:color w:val="000000"/>
        </w:rPr>
        <w:t>Significant increase in sales is observed in Industrial HT Category. In this regard, UGVCL should</w:t>
      </w:r>
      <w:r w:rsidR="005C597E" w:rsidRPr="0020255D">
        <w:rPr>
          <w:rFonts w:ascii="Book Antiqua" w:eastAsia="Times New Roman" w:hAnsi="Book Antiqua"/>
          <w:b/>
          <w:bCs/>
          <w:color w:val="000000"/>
        </w:rPr>
        <w:t>:</w:t>
      </w:r>
    </w:p>
    <w:p w:rsidR="00D20D68" w:rsidRPr="005C597E" w:rsidRDefault="0020255D">
      <w:pPr>
        <w:numPr>
          <w:ilvl w:val="1"/>
          <w:numId w:val="2"/>
        </w:numPr>
        <w:spacing w:after="240" w:line="276" w:lineRule="auto"/>
        <w:ind w:hanging="357"/>
        <w:jc w:val="both"/>
        <w:rPr>
          <w:rFonts w:eastAsia="Times New Roman"/>
          <w:color w:val="000000"/>
        </w:rPr>
      </w:pPr>
      <w:r w:rsidRPr="0020255D">
        <w:rPr>
          <w:rFonts w:ascii="Book Antiqua" w:eastAsia="Times New Roman" w:hAnsi="Book Antiqua"/>
          <w:b/>
          <w:bCs/>
          <w:color w:val="000000"/>
        </w:rPr>
        <w:t>S</w:t>
      </w:r>
      <w:r w:rsidR="00D20D68" w:rsidRPr="0020255D">
        <w:rPr>
          <w:rFonts w:ascii="Book Antiqua" w:eastAsia="Times New Roman" w:hAnsi="Book Antiqua"/>
          <w:b/>
          <w:bCs/>
          <w:color w:val="000000"/>
        </w:rPr>
        <w:t>ubmit the reasons for the same.</w:t>
      </w:r>
    </w:p>
    <w:p w:rsidR="00C810B7" w:rsidRDefault="00C810B7" w:rsidP="00C810B7">
      <w:pPr>
        <w:spacing w:after="240" w:line="276" w:lineRule="auto"/>
        <w:jc w:val="both"/>
        <w:rPr>
          <w:rFonts w:ascii="Book Antiqua" w:eastAsia="Times New Roman" w:hAnsi="Book Antiqua"/>
          <w:color w:val="000000"/>
        </w:rPr>
      </w:pPr>
      <w:r>
        <w:rPr>
          <w:rFonts w:ascii="Book Antiqua" w:eastAsia="Times New Roman" w:hAnsi="Book Antiqua"/>
          <w:color w:val="000000"/>
        </w:rPr>
        <w:t>Compliance: -</w:t>
      </w:r>
    </w:p>
    <w:p w:rsidR="00251A02" w:rsidRDefault="0020255D" w:rsidP="00B53278">
      <w:pPr>
        <w:spacing w:after="240" w:line="276" w:lineRule="auto"/>
        <w:ind w:left="567"/>
        <w:jc w:val="both"/>
        <w:rPr>
          <w:rFonts w:ascii="Book Antiqua" w:eastAsia="Times New Roman" w:hAnsi="Book Antiqua"/>
          <w:color w:val="000000"/>
        </w:rPr>
      </w:pPr>
      <w:r>
        <w:rPr>
          <w:rFonts w:ascii="Book Antiqua" w:eastAsia="Times New Roman" w:hAnsi="Book Antiqua"/>
          <w:color w:val="000000"/>
        </w:rPr>
        <w:t xml:space="preserve">The energy sale for Industrial HT Category approved in the MYT Order </w:t>
      </w:r>
      <w:r w:rsidRPr="0020255D">
        <w:rPr>
          <w:rFonts w:ascii="Book Antiqua" w:eastAsia="Times New Roman" w:hAnsi="Book Antiqua"/>
          <w:color w:val="000000"/>
        </w:rPr>
        <w:t>1622/2016</w:t>
      </w:r>
      <w:r>
        <w:rPr>
          <w:rFonts w:ascii="Book Antiqua" w:eastAsia="Times New Roman" w:hAnsi="Book Antiqua"/>
          <w:color w:val="000000"/>
        </w:rPr>
        <w:t xml:space="preserve"> dated 31th March, 2017, by the Honourable commission was based on </w:t>
      </w:r>
      <w:r w:rsidR="00012D19">
        <w:rPr>
          <w:rFonts w:ascii="Book Antiqua" w:eastAsia="Times New Roman" w:hAnsi="Book Antiqua"/>
          <w:color w:val="000000"/>
        </w:rPr>
        <w:t xml:space="preserve">Y-o-Y (FY 2015-16 against FY 2014-15) </w:t>
      </w:r>
      <w:r>
        <w:rPr>
          <w:rFonts w:ascii="Book Antiqua" w:eastAsia="Times New Roman" w:hAnsi="Book Antiqua"/>
          <w:color w:val="000000"/>
        </w:rPr>
        <w:t>1.81% CAGR</w:t>
      </w:r>
      <w:r w:rsidR="00012D19">
        <w:rPr>
          <w:rFonts w:ascii="Book Antiqua" w:eastAsia="Times New Roman" w:hAnsi="Book Antiqua"/>
          <w:color w:val="000000"/>
        </w:rPr>
        <w:t>. However, during MTR proceedings</w:t>
      </w:r>
      <w:r w:rsidR="001336AF">
        <w:rPr>
          <w:rFonts w:ascii="Book Antiqua" w:eastAsia="Times New Roman" w:hAnsi="Book Antiqua"/>
          <w:color w:val="000000"/>
        </w:rPr>
        <w:t>,</w:t>
      </w:r>
      <w:r w:rsidR="00012D19">
        <w:rPr>
          <w:rFonts w:ascii="Book Antiqua" w:eastAsia="Times New Roman" w:hAnsi="Book Antiqua"/>
          <w:color w:val="000000"/>
        </w:rPr>
        <w:t xml:space="preserve"> it was observed that the growth rates (5 Year, 3 Year &amp; Y-o-Y) were significantly varying considering the actual sale of FY 2012-13 to FY 2017-18. The Hon’bl</w:t>
      </w:r>
      <w:r w:rsidR="00D55A4D">
        <w:rPr>
          <w:rFonts w:ascii="Book Antiqua" w:eastAsia="Times New Roman" w:hAnsi="Book Antiqua"/>
          <w:color w:val="000000"/>
        </w:rPr>
        <w:t xml:space="preserve">e Commission in the </w:t>
      </w:r>
      <w:r w:rsidR="00E60EED">
        <w:rPr>
          <w:rFonts w:ascii="Book Antiqua" w:eastAsia="Times New Roman" w:hAnsi="Book Antiqua"/>
          <w:color w:val="000000"/>
        </w:rPr>
        <w:t xml:space="preserve">MTR </w:t>
      </w:r>
      <w:r w:rsidR="00D55A4D">
        <w:rPr>
          <w:rFonts w:ascii="Book Antiqua" w:eastAsia="Times New Roman" w:hAnsi="Book Antiqua"/>
          <w:color w:val="000000"/>
        </w:rPr>
        <w:t xml:space="preserve">order dated </w:t>
      </w:r>
      <w:r w:rsidR="00E60EED">
        <w:rPr>
          <w:rFonts w:ascii="Book Antiqua" w:eastAsia="Times New Roman" w:hAnsi="Book Antiqua"/>
          <w:color w:val="000000"/>
        </w:rPr>
        <w:t>24</w:t>
      </w:r>
      <w:r w:rsidR="00E60EED" w:rsidRPr="00E60EED">
        <w:rPr>
          <w:rFonts w:ascii="Book Antiqua" w:eastAsia="Times New Roman" w:hAnsi="Book Antiqua"/>
          <w:color w:val="000000"/>
          <w:vertAlign w:val="superscript"/>
        </w:rPr>
        <w:t>th</w:t>
      </w:r>
      <w:r w:rsidR="00E60EED">
        <w:rPr>
          <w:rFonts w:ascii="Book Antiqua" w:eastAsia="Times New Roman" w:hAnsi="Book Antiqua"/>
          <w:color w:val="000000"/>
        </w:rPr>
        <w:t>April, 2019</w:t>
      </w:r>
      <w:r w:rsidR="001336AF">
        <w:rPr>
          <w:rFonts w:ascii="Book Antiqua" w:eastAsia="Times New Roman" w:hAnsi="Book Antiqua"/>
          <w:color w:val="000000"/>
        </w:rPr>
        <w:t>,</w:t>
      </w:r>
      <w:r w:rsidR="00D55A4D">
        <w:rPr>
          <w:rFonts w:ascii="Book Antiqua" w:eastAsia="Times New Roman" w:hAnsi="Book Antiqua"/>
          <w:color w:val="000000"/>
        </w:rPr>
        <w:t xml:space="preserve"> in the above referred case</w:t>
      </w:r>
      <w:r w:rsidR="001336AF">
        <w:rPr>
          <w:rFonts w:ascii="Book Antiqua" w:eastAsia="Times New Roman" w:hAnsi="Book Antiqua"/>
          <w:color w:val="000000"/>
        </w:rPr>
        <w:t>,</w:t>
      </w:r>
      <w:r w:rsidR="00D55A4D">
        <w:rPr>
          <w:rFonts w:ascii="Book Antiqua" w:eastAsia="Times New Roman" w:hAnsi="Book Antiqua"/>
          <w:color w:val="000000"/>
        </w:rPr>
        <w:t xml:space="preserve"> approved the HT energy sales </w:t>
      </w:r>
      <w:r w:rsidR="001336AF">
        <w:rPr>
          <w:rFonts w:ascii="Book Antiqua" w:eastAsia="Times New Roman" w:hAnsi="Book Antiqua"/>
          <w:color w:val="000000"/>
        </w:rPr>
        <w:t>realistically</w:t>
      </w:r>
      <w:r w:rsidR="00D55A4D">
        <w:rPr>
          <w:rFonts w:ascii="Book Antiqua" w:eastAsia="Times New Roman" w:hAnsi="Book Antiqua"/>
          <w:color w:val="000000"/>
        </w:rPr>
        <w:t xml:space="preserve"> considering a 3 year CAGR of 12.82% </w:t>
      </w:r>
      <w:r w:rsidR="00251A02">
        <w:rPr>
          <w:rFonts w:ascii="Book Antiqua" w:eastAsia="Times New Roman" w:hAnsi="Book Antiqua"/>
          <w:color w:val="000000"/>
        </w:rPr>
        <w:t xml:space="preserve">as submitted by UGVCL </w:t>
      </w:r>
      <w:r w:rsidR="00D55A4D">
        <w:rPr>
          <w:rFonts w:ascii="Book Antiqua" w:eastAsia="Times New Roman" w:hAnsi="Book Antiqua"/>
          <w:color w:val="000000"/>
        </w:rPr>
        <w:t xml:space="preserve">against previously approved Y-o-Y CAGR of 1.81%. </w:t>
      </w:r>
    </w:p>
    <w:p w:rsidR="001336AF" w:rsidRDefault="00D55A4D" w:rsidP="00B53278">
      <w:pPr>
        <w:spacing w:after="240" w:line="276" w:lineRule="auto"/>
        <w:ind w:left="567"/>
        <w:jc w:val="both"/>
        <w:rPr>
          <w:rFonts w:ascii="Book Antiqua" w:eastAsia="Times New Roman" w:hAnsi="Book Antiqua"/>
          <w:color w:val="000000"/>
        </w:rPr>
      </w:pPr>
      <w:r>
        <w:rPr>
          <w:rFonts w:ascii="Book Antiqua" w:eastAsia="Times New Roman" w:hAnsi="Book Antiqua"/>
          <w:color w:val="000000"/>
        </w:rPr>
        <w:t xml:space="preserve">Sales </w:t>
      </w:r>
      <w:r w:rsidR="001336AF">
        <w:rPr>
          <w:rFonts w:ascii="Book Antiqua" w:eastAsia="Times New Roman" w:hAnsi="Book Antiqua"/>
          <w:color w:val="000000"/>
        </w:rPr>
        <w:t xml:space="preserve">of Industrial HT </w:t>
      </w:r>
      <w:r w:rsidR="00251A02">
        <w:rPr>
          <w:rFonts w:ascii="Book Antiqua" w:eastAsia="Times New Roman" w:hAnsi="Book Antiqua"/>
          <w:color w:val="000000"/>
        </w:rPr>
        <w:t xml:space="preserve">for FY 2018-19 </w:t>
      </w:r>
      <w:r>
        <w:rPr>
          <w:rFonts w:ascii="Book Antiqua" w:eastAsia="Times New Roman" w:hAnsi="Book Antiqua"/>
          <w:color w:val="000000"/>
        </w:rPr>
        <w:t xml:space="preserve">was </w:t>
      </w:r>
      <w:r w:rsidR="00251A02">
        <w:rPr>
          <w:rFonts w:ascii="Book Antiqua" w:eastAsia="Times New Roman" w:hAnsi="Book Antiqua"/>
          <w:color w:val="000000"/>
        </w:rPr>
        <w:t xml:space="preserve">projected by UGVCL </w:t>
      </w:r>
      <w:r>
        <w:rPr>
          <w:rFonts w:ascii="Book Antiqua" w:eastAsia="Times New Roman" w:hAnsi="Book Antiqua"/>
          <w:color w:val="000000"/>
        </w:rPr>
        <w:t xml:space="preserve">to </w:t>
      </w:r>
      <w:r w:rsidR="00251A02">
        <w:rPr>
          <w:rFonts w:ascii="Book Antiqua" w:eastAsia="Times New Roman" w:hAnsi="Book Antiqua"/>
          <w:color w:val="000000"/>
        </w:rPr>
        <w:t xml:space="preserve">be </w:t>
      </w:r>
      <w:r>
        <w:rPr>
          <w:rFonts w:ascii="Book Antiqua" w:eastAsia="Times New Roman" w:hAnsi="Book Antiqua"/>
          <w:color w:val="000000"/>
        </w:rPr>
        <w:t xml:space="preserve">7241 MU in the MTR </w:t>
      </w:r>
      <w:r w:rsidR="001336AF">
        <w:rPr>
          <w:rFonts w:ascii="Book Antiqua" w:eastAsia="Times New Roman" w:hAnsi="Book Antiqua"/>
          <w:color w:val="000000"/>
        </w:rPr>
        <w:t>Petition</w:t>
      </w:r>
      <w:r w:rsidR="00251A02">
        <w:rPr>
          <w:rFonts w:ascii="Book Antiqua" w:eastAsia="Times New Roman" w:hAnsi="Book Antiqua"/>
          <w:color w:val="000000"/>
        </w:rPr>
        <w:t xml:space="preserve"> considering revised growth rate</w:t>
      </w:r>
      <w:r w:rsidR="001336AF">
        <w:rPr>
          <w:rFonts w:ascii="Book Antiqua" w:eastAsia="Times New Roman" w:hAnsi="Book Antiqua"/>
          <w:color w:val="000000"/>
        </w:rPr>
        <w:t>. A</w:t>
      </w:r>
      <w:r>
        <w:rPr>
          <w:rFonts w:ascii="Book Antiqua" w:eastAsia="Times New Roman" w:hAnsi="Book Antiqua"/>
          <w:color w:val="000000"/>
        </w:rPr>
        <w:t xml:space="preserve">gainst </w:t>
      </w:r>
      <w:r w:rsidR="001336AF">
        <w:rPr>
          <w:rFonts w:ascii="Book Antiqua" w:eastAsia="Times New Roman" w:hAnsi="Book Antiqua"/>
          <w:color w:val="000000"/>
        </w:rPr>
        <w:t>7241 MU,</w:t>
      </w:r>
      <w:r>
        <w:rPr>
          <w:rFonts w:ascii="Book Antiqua" w:eastAsia="Times New Roman" w:hAnsi="Book Antiqua"/>
          <w:color w:val="000000"/>
        </w:rPr>
        <w:t xml:space="preserve"> the actual sales </w:t>
      </w:r>
      <w:r w:rsidR="001336AF">
        <w:rPr>
          <w:rFonts w:ascii="Book Antiqua" w:eastAsia="Times New Roman" w:hAnsi="Book Antiqua"/>
          <w:color w:val="000000"/>
        </w:rPr>
        <w:t xml:space="preserve">of Industrial HT during FY 2018-19 </w:t>
      </w:r>
      <w:r>
        <w:rPr>
          <w:rFonts w:ascii="Book Antiqua" w:eastAsia="Times New Roman" w:hAnsi="Book Antiqua"/>
          <w:color w:val="000000"/>
        </w:rPr>
        <w:t xml:space="preserve">was7621.20 MU. </w:t>
      </w:r>
    </w:p>
    <w:p w:rsidR="00D55A4D" w:rsidRDefault="00D55A4D" w:rsidP="00B53278">
      <w:pPr>
        <w:spacing w:after="240" w:line="276" w:lineRule="auto"/>
        <w:ind w:left="567"/>
        <w:jc w:val="both"/>
        <w:rPr>
          <w:rFonts w:ascii="Book Antiqua" w:eastAsia="Times New Roman" w:hAnsi="Book Antiqua"/>
          <w:color w:val="000000"/>
        </w:rPr>
      </w:pPr>
      <w:r w:rsidRPr="005C597E">
        <w:rPr>
          <w:rFonts w:ascii="Book Antiqua" w:eastAsia="Times New Roman" w:hAnsi="Book Antiqua"/>
          <w:color w:val="000000"/>
        </w:rPr>
        <w:t xml:space="preserve">It is </w:t>
      </w:r>
      <w:r>
        <w:rPr>
          <w:rFonts w:ascii="Book Antiqua" w:eastAsia="Times New Roman" w:hAnsi="Book Antiqua"/>
          <w:color w:val="000000"/>
        </w:rPr>
        <w:t xml:space="preserve">highlighted </w:t>
      </w:r>
      <w:r w:rsidRPr="005C597E">
        <w:rPr>
          <w:rFonts w:ascii="Book Antiqua" w:eastAsia="Times New Roman" w:hAnsi="Book Antiqua"/>
          <w:color w:val="000000"/>
        </w:rPr>
        <w:t xml:space="preserve">that </w:t>
      </w:r>
      <w:r w:rsidR="00251A02">
        <w:rPr>
          <w:rFonts w:ascii="Book Antiqua" w:eastAsia="Times New Roman" w:hAnsi="Book Antiqua"/>
          <w:color w:val="000000"/>
        </w:rPr>
        <w:t xml:space="preserve">increase in HT Industrial sales is due to reduction in </w:t>
      </w:r>
      <w:r w:rsidRPr="005C597E">
        <w:rPr>
          <w:rFonts w:ascii="Book Antiqua" w:eastAsia="Times New Roman" w:hAnsi="Book Antiqua"/>
          <w:color w:val="000000"/>
        </w:rPr>
        <w:t xml:space="preserve">Open Access, Wind Farm and CPP </w:t>
      </w:r>
      <w:r w:rsidR="00251A02">
        <w:rPr>
          <w:rFonts w:ascii="Book Antiqua" w:eastAsia="Times New Roman" w:hAnsi="Book Antiqua"/>
          <w:color w:val="000000"/>
        </w:rPr>
        <w:t>consumption</w:t>
      </w:r>
      <w:r w:rsidRPr="005C597E">
        <w:rPr>
          <w:rFonts w:ascii="Book Antiqua" w:eastAsia="Times New Roman" w:hAnsi="Book Antiqua"/>
          <w:color w:val="000000"/>
        </w:rPr>
        <w:t xml:space="preserve"> from 1346 M</w:t>
      </w:r>
      <w:r>
        <w:rPr>
          <w:rFonts w:ascii="Book Antiqua" w:eastAsia="Times New Roman" w:hAnsi="Book Antiqua"/>
          <w:color w:val="000000"/>
        </w:rPr>
        <w:t>U</w:t>
      </w:r>
      <w:r w:rsidRPr="005C597E">
        <w:rPr>
          <w:rFonts w:ascii="Book Antiqua" w:eastAsia="Times New Roman" w:hAnsi="Book Antiqua"/>
          <w:color w:val="000000"/>
        </w:rPr>
        <w:t xml:space="preserve">s (FY 2015-16) to 881 MUs (FY 2018-19). </w:t>
      </w:r>
      <w:r w:rsidR="00F62A81">
        <w:rPr>
          <w:rFonts w:ascii="Book Antiqua" w:eastAsia="Times New Roman" w:hAnsi="Book Antiqua"/>
          <w:color w:val="000000"/>
        </w:rPr>
        <w:t>T</w:t>
      </w:r>
      <w:r>
        <w:rPr>
          <w:rFonts w:ascii="Book Antiqua" w:eastAsia="Times New Roman" w:hAnsi="Book Antiqua"/>
          <w:color w:val="000000"/>
        </w:rPr>
        <w:t>he Sales in the Industrial HT Category has increased</w:t>
      </w:r>
      <w:r w:rsidR="00F62A81">
        <w:rPr>
          <w:rFonts w:ascii="Book Antiqua" w:eastAsia="Times New Roman" w:hAnsi="Book Antiqua"/>
          <w:color w:val="000000"/>
        </w:rPr>
        <w:t xml:space="preserve"> due to above factors</w:t>
      </w:r>
      <w:r>
        <w:rPr>
          <w:rFonts w:ascii="Book Antiqua" w:eastAsia="Times New Roman" w:hAnsi="Book Antiqua"/>
          <w:color w:val="000000"/>
        </w:rPr>
        <w:t>.</w:t>
      </w:r>
    </w:p>
    <w:p w:rsidR="00D20D68" w:rsidRPr="00B53278" w:rsidRDefault="00D20D68">
      <w:pPr>
        <w:numPr>
          <w:ilvl w:val="1"/>
          <w:numId w:val="2"/>
        </w:numPr>
        <w:spacing w:after="240" w:line="276" w:lineRule="auto"/>
        <w:ind w:hanging="357"/>
        <w:jc w:val="both"/>
        <w:rPr>
          <w:rFonts w:eastAsia="Times New Roman"/>
          <w:b/>
          <w:bCs/>
          <w:color w:val="000000"/>
        </w:rPr>
      </w:pPr>
      <w:r w:rsidRPr="00B53278">
        <w:rPr>
          <w:rFonts w:ascii="Book Antiqua" w:eastAsia="Times New Roman" w:hAnsi="Book Antiqua"/>
          <w:b/>
          <w:bCs/>
          <w:color w:val="000000"/>
        </w:rPr>
        <w:t>Clarify whether this trend of sales increase is expected to continue</w:t>
      </w:r>
    </w:p>
    <w:p w:rsidR="00B53278" w:rsidRDefault="00866979" w:rsidP="008E4457">
      <w:pPr>
        <w:spacing w:after="240" w:line="276" w:lineRule="auto"/>
        <w:ind w:left="1560" w:hanging="993"/>
        <w:jc w:val="both"/>
        <w:rPr>
          <w:rFonts w:ascii="Book Antiqua" w:eastAsia="Times New Roman" w:hAnsi="Book Antiqua"/>
          <w:b/>
          <w:bCs/>
          <w:i/>
          <w:iCs/>
          <w:color w:val="000000"/>
        </w:rPr>
      </w:pPr>
      <w:r w:rsidRPr="00B53278">
        <w:rPr>
          <w:rFonts w:ascii="Book Antiqua" w:eastAsia="Times New Roman" w:hAnsi="Book Antiqua"/>
          <w:color w:val="000000"/>
        </w:rPr>
        <w:t>Compliance:</w:t>
      </w:r>
      <w:r w:rsidRPr="007D4215">
        <w:rPr>
          <w:rFonts w:ascii="Book Antiqua" w:eastAsia="Times New Roman" w:hAnsi="Book Antiqua"/>
          <w:b/>
          <w:bCs/>
          <w:i/>
          <w:iCs/>
          <w:color w:val="000000"/>
        </w:rPr>
        <w:t>-</w:t>
      </w:r>
    </w:p>
    <w:p w:rsidR="00866979" w:rsidRDefault="00866979" w:rsidP="008E4457">
      <w:pPr>
        <w:spacing w:after="240" w:line="276" w:lineRule="auto"/>
        <w:ind w:left="1560" w:hanging="993"/>
        <w:jc w:val="both"/>
        <w:rPr>
          <w:rFonts w:ascii="Book Antiqua" w:eastAsia="Times New Roman" w:hAnsi="Book Antiqua"/>
          <w:color w:val="000000"/>
        </w:rPr>
      </w:pPr>
      <w:r w:rsidRPr="005C597E">
        <w:rPr>
          <w:rFonts w:ascii="Book Antiqua" w:eastAsia="Times New Roman" w:hAnsi="Book Antiqua"/>
          <w:color w:val="000000"/>
        </w:rPr>
        <w:t>UGVCL expects sales as considered in Mid Term review petition</w:t>
      </w:r>
    </w:p>
    <w:p w:rsidR="00D20D68" w:rsidRPr="00B53278" w:rsidRDefault="00D20D68">
      <w:pPr>
        <w:numPr>
          <w:ilvl w:val="1"/>
          <w:numId w:val="2"/>
        </w:numPr>
        <w:spacing w:after="240" w:line="276" w:lineRule="auto"/>
        <w:ind w:hanging="357"/>
        <w:jc w:val="both"/>
        <w:rPr>
          <w:rFonts w:eastAsia="Times New Roman"/>
          <w:b/>
          <w:bCs/>
          <w:color w:val="000000"/>
        </w:rPr>
      </w:pPr>
      <w:r w:rsidRPr="00B53278">
        <w:rPr>
          <w:rFonts w:ascii="Book Antiqua" w:eastAsia="Times New Roman" w:hAnsi="Book Antiqua"/>
          <w:b/>
          <w:bCs/>
          <w:color w:val="000000"/>
        </w:rPr>
        <w:t>Explain the increase in revenue by around 40% as against the increase in sales by around 59%</w:t>
      </w:r>
    </w:p>
    <w:p w:rsidR="00866979" w:rsidRPr="001A2C0C" w:rsidRDefault="00866979" w:rsidP="008E4457">
      <w:pPr>
        <w:spacing w:after="240" w:line="276" w:lineRule="auto"/>
        <w:ind w:firstLine="709"/>
        <w:jc w:val="both"/>
        <w:rPr>
          <w:rFonts w:ascii="Book Antiqua" w:eastAsia="Times New Roman" w:hAnsi="Book Antiqua"/>
          <w:color w:val="000000"/>
        </w:rPr>
      </w:pPr>
      <w:r w:rsidRPr="001A2C0C">
        <w:rPr>
          <w:rFonts w:ascii="Book Antiqua" w:eastAsia="Times New Roman" w:hAnsi="Book Antiqua"/>
          <w:color w:val="000000"/>
        </w:rPr>
        <w:t>Compliance: -</w:t>
      </w:r>
    </w:p>
    <w:p w:rsidR="007D4215" w:rsidRPr="005C597E" w:rsidRDefault="00866979" w:rsidP="001A2C0C">
      <w:pPr>
        <w:spacing w:after="240" w:line="276" w:lineRule="auto"/>
        <w:ind w:left="709"/>
        <w:jc w:val="both"/>
        <w:rPr>
          <w:rFonts w:ascii="Book Antiqua" w:eastAsia="Times New Roman" w:hAnsi="Book Antiqua"/>
          <w:color w:val="000000"/>
        </w:rPr>
      </w:pPr>
      <w:r w:rsidRPr="005C597E">
        <w:rPr>
          <w:rFonts w:ascii="Book Antiqua" w:eastAsia="Times New Roman" w:hAnsi="Book Antiqua"/>
          <w:color w:val="000000"/>
        </w:rPr>
        <w:t>W.r.t.</w:t>
      </w:r>
      <w:r w:rsidR="005C597E" w:rsidRPr="005C597E">
        <w:rPr>
          <w:rFonts w:ascii="Book Antiqua" w:eastAsia="Times New Roman" w:hAnsi="Book Antiqua"/>
          <w:color w:val="000000"/>
        </w:rPr>
        <w:t>M</w:t>
      </w:r>
      <w:r w:rsidR="005C597E">
        <w:rPr>
          <w:rFonts w:ascii="Book Antiqua" w:eastAsia="Times New Roman" w:hAnsi="Book Antiqua"/>
          <w:color w:val="000000"/>
        </w:rPr>
        <w:t>U</w:t>
      </w:r>
      <w:r w:rsidR="005C597E" w:rsidRPr="005C597E">
        <w:rPr>
          <w:rFonts w:ascii="Book Antiqua" w:eastAsia="Times New Roman" w:hAnsi="Book Antiqua"/>
          <w:color w:val="000000"/>
        </w:rPr>
        <w:t>s</w:t>
      </w:r>
      <w:r w:rsidRPr="005C597E">
        <w:rPr>
          <w:rFonts w:ascii="Book Antiqua" w:eastAsia="Times New Roman" w:hAnsi="Book Antiqua"/>
          <w:color w:val="000000"/>
        </w:rPr>
        <w:t xml:space="preserve">, reference can be taken to answer </w:t>
      </w:r>
      <w:r w:rsidRPr="00B53278">
        <w:rPr>
          <w:rFonts w:ascii="Book Antiqua" w:eastAsia="Times New Roman" w:hAnsi="Book Antiqua"/>
          <w:b/>
          <w:bCs/>
          <w:color w:val="000000"/>
        </w:rPr>
        <w:t>1</w:t>
      </w:r>
      <w:r w:rsidR="00B53278" w:rsidRPr="00B53278">
        <w:rPr>
          <w:rFonts w:ascii="Book Antiqua" w:eastAsia="Times New Roman" w:hAnsi="Book Antiqua"/>
          <w:b/>
          <w:bCs/>
          <w:color w:val="000000"/>
        </w:rPr>
        <w:t>.</w:t>
      </w:r>
      <w:r w:rsidRPr="00B53278">
        <w:rPr>
          <w:rFonts w:ascii="Book Antiqua" w:eastAsia="Times New Roman" w:hAnsi="Book Antiqua"/>
          <w:b/>
          <w:bCs/>
          <w:color w:val="000000"/>
        </w:rPr>
        <w:t xml:space="preserve"> a</w:t>
      </w:r>
      <w:r w:rsidRPr="005C597E">
        <w:rPr>
          <w:rFonts w:ascii="Book Antiqua" w:eastAsia="Times New Roman" w:hAnsi="Book Antiqua"/>
          <w:color w:val="000000"/>
        </w:rPr>
        <w:t xml:space="preserve"> above</w:t>
      </w:r>
      <w:r w:rsidR="001A2C0C">
        <w:rPr>
          <w:rFonts w:ascii="Book Antiqua" w:eastAsia="Times New Roman" w:hAnsi="Book Antiqua"/>
          <w:color w:val="000000"/>
        </w:rPr>
        <w:t>.W</w:t>
      </w:r>
      <w:r w:rsidRPr="005C597E">
        <w:rPr>
          <w:rFonts w:ascii="Book Antiqua" w:eastAsia="Times New Roman" w:hAnsi="Book Antiqua"/>
          <w:color w:val="000000"/>
        </w:rPr>
        <w:t xml:space="preserve">.r.t. Revenue it is submitted that </w:t>
      </w:r>
      <w:r w:rsidR="00B53278">
        <w:rPr>
          <w:rFonts w:ascii="Book Antiqua" w:eastAsia="Times New Roman" w:hAnsi="Book Antiqua"/>
          <w:color w:val="000000"/>
        </w:rPr>
        <w:t>t</w:t>
      </w:r>
      <w:r w:rsidRPr="005C597E">
        <w:rPr>
          <w:rFonts w:ascii="Book Antiqua" w:eastAsia="Times New Roman" w:hAnsi="Book Antiqua"/>
          <w:color w:val="000000"/>
        </w:rPr>
        <w:t xml:space="preserve">he </w:t>
      </w:r>
      <w:r w:rsidR="00B53278">
        <w:rPr>
          <w:rFonts w:ascii="Book Antiqua" w:eastAsia="Times New Roman" w:hAnsi="Book Antiqua"/>
          <w:color w:val="000000"/>
        </w:rPr>
        <w:t xml:space="preserve">tariff </w:t>
      </w:r>
      <w:r w:rsidRPr="005C597E">
        <w:rPr>
          <w:rFonts w:ascii="Book Antiqua" w:eastAsia="Times New Roman" w:hAnsi="Book Antiqua"/>
          <w:color w:val="000000"/>
        </w:rPr>
        <w:t xml:space="preserve">charged to consumers is in line with tariff order and the FPPPA rate approved by </w:t>
      </w:r>
      <w:r w:rsidR="001A2C0C">
        <w:rPr>
          <w:rFonts w:ascii="Book Antiqua" w:eastAsia="Times New Roman" w:hAnsi="Book Antiqua"/>
          <w:color w:val="000000"/>
        </w:rPr>
        <w:t>the Hon’ble Commission from time to time</w:t>
      </w:r>
      <w:r w:rsidRPr="005C597E">
        <w:rPr>
          <w:rFonts w:ascii="Book Antiqua" w:eastAsia="Times New Roman" w:hAnsi="Book Antiqua"/>
          <w:color w:val="000000"/>
        </w:rPr>
        <w:t>.</w:t>
      </w:r>
      <w:r w:rsidR="00C14237">
        <w:rPr>
          <w:rFonts w:ascii="Book Antiqua" w:eastAsia="Times New Roman" w:hAnsi="Book Antiqua"/>
          <w:color w:val="000000"/>
        </w:rPr>
        <w:t xml:space="preserve"> Relationship observed between revenue and sales is not linear, because revenue has variable component which is linear with sales, as </w:t>
      </w:r>
      <w:r w:rsidR="00C14237">
        <w:rPr>
          <w:rFonts w:ascii="Book Antiqua" w:eastAsia="Times New Roman" w:hAnsi="Book Antiqua"/>
          <w:color w:val="000000"/>
        </w:rPr>
        <w:lastRenderedPageBreak/>
        <w:t xml:space="preserve">well as fixed component. In case of increase in sales of existing consumers, variable charges like energy charges will increase, but revenue through fixed charge does not change proportionately. </w:t>
      </w:r>
    </w:p>
    <w:p w:rsidR="00D20D68" w:rsidRPr="001A2C0C" w:rsidRDefault="00D20D68" w:rsidP="005C597E">
      <w:pPr>
        <w:numPr>
          <w:ilvl w:val="0"/>
          <w:numId w:val="2"/>
        </w:numPr>
        <w:spacing w:after="240" w:line="276" w:lineRule="auto"/>
        <w:ind w:left="630" w:hanging="357"/>
        <w:jc w:val="both"/>
        <w:rPr>
          <w:b/>
          <w:bCs/>
          <w:color w:val="000000"/>
        </w:rPr>
      </w:pPr>
      <w:r w:rsidRPr="001A2C0C">
        <w:rPr>
          <w:rFonts w:ascii="Book Antiqua" w:hAnsi="Book Antiqua"/>
          <w:b/>
          <w:bCs/>
          <w:color w:val="000000"/>
        </w:rPr>
        <w:t>As regards sales to agricultural category, UGVCL should</w:t>
      </w:r>
      <w:r w:rsidR="00866979" w:rsidRPr="001A2C0C">
        <w:rPr>
          <w:rFonts w:ascii="Book Antiqua" w:eastAsia="Times New Roman" w:hAnsi="Book Antiqua"/>
          <w:b/>
          <w:bCs/>
          <w:color w:val="000000"/>
        </w:rPr>
        <w:t>:</w:t>
      </w:r>
    </w:p>
    <w:p w:rsidR="00D20D68" w:rsidRPr="001A2C0C" w:rsidRDefault="00D20D68">
      <w:pPr>
        <w:numPr>
          <w:ilvl w:val="1"/>
          <w:numId w:val="3"/>
        </w:numPr>
        <w:spacing w:after="240" w:line="276" w:lineRule="auto"/>
        <w:ind w:hanging="357"/>
        <w:jc w:val="both"/>
        <w:rPr>
          <w:rFonts w:eastAsia="Times New Roman"/>
          <w:b/>
          <w:bCs/>
          <w:color w:val="000000"/>
        </w:rPr>
      </w:pPr>
      <w:r w:rsidRPr="001A2C0C">
        <w:rPr>
          <w:rFonts w:ascii="Book Antiqua" w:eastAsia="Times New Roman" w:hAnsi="Book Antiqua"/>
          <w:b/>
          <w:bCs/>
          <w:color w:val="000000"/>
        </w:rPr>
        <w:t>submit the break-up of revenue from sales to metered agricultural category and un-metered agricultural category.</w:t>
      </w:r>
    </w:p>
    <w:p w:rsidR="00FF7D9D" w:rsidRPr="001A2C0C" w:rsidRDefault="00FF7D9D" w:rsidP="005C597E">
      <w:pPr>
        <w:spacing w:after="240" w:line="276" w:lineRule="auto"/>
        <w:ind w:left="426"/>
        <w:jc w:val="both"/>
        <w:rPr>
          <w:rFonts w:ascii="Book Antiqua" w:eastAsia="Times New Roman" w:hAnsi="Book Antiqua"/>
          <w:b/>
          <w:bCs/>
          <w:color w:val="000000"/>
        </w:rPr>
      </w:pPr>
      <w:r w:rsidRPr="001A2C0C">
        <w:rPr>
          <w:rFonts w:ascii="Book Antiqua" w:hAnsi="Book Antiqua"/>
          <w:b/>
          <w:bCs/>
          <w:lang w:val="en-GB"/>
        </w:rPr>
        <w:t>Compliance:</w:t>
      </w:r>
      <w:r w:rsidR="005C597E" w:rsidRPr="001A2C0C">
        <w:rPr>
          <w:rFonts w:ascii="Book Antiqua" w:hAnsi="Book Antiqua"/>
          <w:b/>
          <w:bCs/>
          <w:lang w:val="en-GB"/>
        </w:rPr>
        <w:t xml:space="preserve"> -</w:t>
      </w:r>
    </w:p>
    <w:tbl>
      <w:tblPr>
        <w:tblW w:w="895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2927"/>
        <w:gridCol w:w="1378"/>
        <w:gridCol w:w="1276"/>
        <w:gridCol w:w="1378"/>
        <w:gridCol w:w="1375"/>
      </w:tblGrid>
      <w:tr w:rsidR="00FF7D9D" w:rsidRPr="001A2C0C" w:rsidTr="001A2C0C">
        <w:trPr>
          <w:trHeight w:val="300"/>
          <w:jc w:val="right"/>
        </w:trPr>
        <w:tc>
          <w:tcPr>
            <w:tcW w:w="617" w:type="dxa"/>
            <w:vMerge w:val="restart"/>
            <w:shd w:val="clear" w:color="000000" w:fill="FABF8F"/>
            <w:noWrap/>
            <w:vAlign w:val="center"/>
            <w:hideMark/>
          </w:tcPr>
          <w:p w:rsidR="00FF7D9D" w:rsidRPr="001A2C0C" w:rsidRDefault="00FF7D9D" w:rsidP="00FF7D9D">
            <w:pPr>
              <w:jc w:val="center"/>
              <w:rPr>
                <w:rFonts w:ascii="Book Antiqua" w:eastAsia="Times New Roman" w:hAnsi="Book Antiqua" w:cs="Arial"/>
                <w:b/>
                <w:bCs/>
                <w:lang w:eastAsia="en-IN"/>
              </w:rPr>
            </w:pPr>
            <w:r w:rsidRPr="001A2C0C">
              <w:rPr>
                <w:rFonts w:ascii="Book Antiqua" w:eastAsia="Times New Roman" w:hAnsi="Book Antiqua" w:cs="Arial"/>
                <w:b/>
                <w:bCs/>
                <w:sz w:val="22"/>
                <w:szCs w:val="22"/>
                <w:lang w:eastAsia="en-IN"/>
              </w:rPr>
              <w:t>Sr. No.</w:t>
            </w:r>
          </w:p>
        </w:tc>
        <w:tc>
          <w:tcPr>
            <w:tcW w:w="2927" w:type="dxa"/>
            <w:vMerge w:val="restart"/>
            <w:shd w:val="clear" w:color="000000" w:fill="FABF8F"/>
            <w:noWrap/>
            <w:vAlign w:val="center"/>
            <w:hideMark/>
          </w:tcPr>
          <w:p w:rsidR="00FF7D9D" w:rsidRPr="001A2C0C" w:rsidRDefault="00FF7D9D" w:rsidP="00FF7D9D">
            <w:pPr>
              <w:jc w:val="center"/>
              <w:rPr>
                <w:rFonts w:ascii="Book Antiqua" w:eastAsia="Times New Roman" w:hAnsi="Book Antiqua" w:cs="Arial"/>
                <w:b/>
                <w:bCs/>
                <w:lang w:eastAsia="en-IN"/>
              </w:rPr>
            </w:pPr>
            <w:r w:rsidRPr="001A2C0C">
              <w:rPr>
                <w:rFonts w:ascii="Book Antiqua" w:eastAsia="Times New Roman" w:hAnsi="Book Antiqua" w:cs="Arial"/>
                <w:b/>
                <w:bCs/>
                <w:sz w:val="22"/>
                <w:szCs w:val="22"/>
                <w:lang w:eastAsia="en-IN"/>
              </w:rPr>
              <w:t>Particulars</w:t>
            </w:r>
          </w:p>
        </w:tc>
        <w:tc>
          <w:tcPr>
            <w:tcW w:w="2654" w:type="dxa"/>
            <w:gridSpan w:val="2"/>
            <w:shd w:val="clear" w:color="000000" w:fill="FABF8F"/>
            <w:vAlign w:val="center"/>
            <w:hideMark/>
          </w:tcPr>
          <w:p w:rsidR="00FF7D9D" w:rsidRPr="001A2C0C" w:rsidRDefault="00FF7D9D" w:rsidP="00FF7D9D">
            <w:pPr>
              <w:jc w:val="center"/>
              <w:rPr>
                <w:rFonts w:ascii="Book Antiqua" w:eastAsia="Times New Roman" w:hAnsi="Book Antiqua" w:cs="Arial"/>
                <w:b/>
                <w:bCs/>
                <w:lang w:eastAsia="en-IN"/>
              </w:rPr>
            </w:pPr>
            <w:r w:rsidRPr="001A2C0C">
              <w:rPr>
                <w:rFonts w:ascii="Book Antiqua" w:eastAsia="Times New Roman" w:hAnsi="Book Antiqua" w:cs="Arial"/>
                <w:b/>
                <w:bCs/>
                <w:sz w:val="22"/>
                <w:szCs w:val="22"/>
                <w:lang w:eastAsia="en-IN"/>
              </w:rPr>
              <w:t>Sales(MU)</w:t>
            </w:r>
          </w:p>
        </w:tc>
        <w:tc>
          <w:tcPr>
            <w:tcW w:w="2753" w:type="dxa"/>
            <w:gridSpan w:val="2"/>
            <w:shd w:val="clear" w:color="000000" w:fill="FABF8F"/>
            <w:vAlign w:val="center"/>
            <w:hideMark/>
          </w:tcPr>
          <w:p w:rsidR="00FF7D9D" w:rsidRPr="001A2C0C" w:rsidRDefault="00FF7D9D" w:rsidP="00FF7D9D">
            <w:pPr>
              <w:jc w:val="center"/>
              <w:rPr>
                <w:rFonts w:ascii="Book Antiqua" w:eastAsia="Times New Roman" w:hAnsi="Book Antiqua" w:cs="Arial"/>
                <w:b/>
                <w:bCs/>
                <w:lang w:eastAsia="en-IN"/>
              </w:rPr>
            </w:pPr>
            <w:r w:rsidRPr="001A2C0C">
              <w:rPr>
                <w:rFonts w:ascii="Book Antiqua" w:eastAsia="Times New Roman" w:hAnsi="Book Antiqua" w:cs="Arial"/>
                <w:b/>
                <w:bCs/>
                <w:sz w:val="22"/>
                <w:szCs w:val="22"/>
                <w:lang w:eastAsia="en-IN"/>
              </w:rPr>
              <w:t>Revenue (Rs. Crores)</w:t>
            </w:r>
          </w:p>
        </w:tc>
      </w:tr>
      <w:tr w:rsidR="00FF7D9D" w:rsidRPr="001A2C0C" w:rsidTr="001A2C0C">
        <w:trPr>
          <w:trHeight w:val="600"/>
          <w:jc w:val="right"/>
        </w:trPr>
        <w:tc>
          <w:tcPr>
            <w:tcW w:w="617" w:type="dxa"/>
            <w:vMerge/>
            <w:vAlign w:val="center"/>
            <w:hideMark/>
          </w:tcPr>
          <w:p w:rsidR="00FF7D9D" w:rsidRPr="001A2C0C" w:rsidRDefault="00FF7D9D" w:rsidP="00FF7D9D">
            <w:pPr>
              <w:rPr>
                <w:rFonts w:ascii="Book Antiqua" w:eastAsia="Times New Roman" w:hAnsi="Book Antiqua" w:cs="Arial"/>
                <w:b/>
                <w:bCs/>
                <w:lang w:eastAsia="en-IN"/>
              </w:rPr>
            </w:pPr>
          </w:p>
        </w:tc>
        <w:tc>
          <w:tcPr>
            <w:tcW w:w="2927" w:type="dxa"/>
            <w:vMerge/>
            <w:vAlign w:val="center"/>
            <w:hideMark/>
          </w:tcPr>
          <w:p w:rsidR="00FF7D9D" w:rsidRPr="001A2C0C" w:rsidRDefault="00FF7D9D" w:rsidP="00FF7D9D">
            <w:pPr>
              <w:rPr>
                <w:rFonts w:ascii="Book Antiqua" w:eastAsia="Times New Roman" w:hAnsi="Book Antiqua" w:cs="Arial"/>
                <w:b/>
                <w:bCs/>
                <w:lang w:eastAsia="en-IN"/>
              </w:rPr>
            </w:pPr>
          </w:p>
        </w:tc>
        <w:tc>
          <w:tcPr>
            <w:tcW w:w="1378" w:type="dxa"/>
            <w:shd w:val="clear" w:color="000000" w:fill="FABF8F"/>
            <w:vAlign w:val="center"/>
            <w:hideMark/>
          </w:tcPr>
          <w:p w:rsidR="00FF7D9D" w:rsidRPr="001A2C0C" w:rsidRDefault="00FF7D9D" w:rsidP="00FF7D9D">
            <w:pPr>
              <w:jc w:val="center"/>
              <w:rPr>
                <w:rFonts w:ascii="Book Antiqua" w:eastAsia="Times New Roman" w:hAnsi="Book Antiqua" w:cs="Arial"/>
                <w:b/>
                <w:bCs/>
                <w:lang w:eastAsia="en-IN"/>
              </w:rPr>
            </w:pPr>
            <w:r w:rsidRPr="001A2C0C">
              <w:rPr>
                <w:rFonts w:ascii="Book Antiqua" w:eastAsia="Times New Roman" w:hAnsi="Book Antiqua" w:cs="Arial"/>
                <w:b/>
                <w:bCs/>
                <w:sz w:val="22"/>
                <w:szCs w:val="22"/>
                <w:lang w:eastAsia="en-IN"/>
              </w:rPr>
              <w:t>FY 2018-19 (Approved)</w:t>
            </w:r>
          </w:p>
        </w:tc>
        <w:tc>
          <w:tcPr>
            <w:tcW w:w="1276" w:type="dxa"/>
            <w:shd w:val="clear" w:color="000000" w:fill="FABF8F"/>
            <w:vAlign w:val="center"/>
            <w:hideMark/>
          </w:tcPr>
          <w:p w:rsidR="00FF7D9D" w:rsidRPr="001A2C0C" w:rsidRDefault="00FF7D9D" w:rsidP="00FF7D9D">
            <w:pPr>
              <w:jc w:val="center"/>
              <w:rPr>
                <w:rFonts w:ascii="Book Antiqua" w:eastAsia="Times New Roman" w:hAnsi="Book Antiqua" w:cs="Arial"/>
                <w:b/>
                <w:bCs/>
                <w:lang w:eastAsia="en-IN"/>
              </w:rPr>
            </w:pPr>
            <w:r w:rsidRPr="001A2C0C">
              <w:rPr>
                <w:rFonts w:ascii="Book Antiqua" w:eastAsia="Times New Roman" w:hAnsi="Book Antiqua" w:cs="Arial"/>
                <w:b/>
                <w:bCs/>
                <w:sz w:val="22"/>
                <w:szCs w:val="22"/>
                <w:lang w:eastAsia="en-IN"/>
              </w:rPr>
              <w:t>FY 2018-19 (Actual)</w:t>
            </w:r>
          </w:p>
        </w:tc>
        <w:tc>
          <w:tcPr>
            <w:tcW w:w="1378" w:type="dxa"/>
            <w:shd w:val="clear" w:color="000000" w:fill="FABF8F"/>
            <w:vAlign w:val="center"/>
            <w:hideMark/>
          </w:tcPr>
          <w:p w:rsidR="00FF7D9D" w:rsidRPr="001A2C0C" w:rsidRDefault="00FF7D9D" w:rsidP="00FF7D9D">
            <w:pPr>
              <w:jc w:val="center"/>
              <w:rPr>
                <w:rFonts w:ascii="Book Antiqua" w:eastAsia="Times New Roman" w:hAnsi="Book Antiqua" w:cs="Arial"/>
                <w:b/>
                <w:bCs/>
                <w:lang w:eastAsia="en-IN"/>
              </w:rPr>
            </w:pPr>
            <w:r w:rsidRPr="001A2C0C">
              <w:rPr>
                <w:rFonts w:ascii="Book Antiqua" w:eastAsia="Times New Roman" w:hAnsi="Book Antiqua" w:cs="Arial"/>
                <w:b/>
                <w:bCs/>
                <w:sz w:val="22"/>
                <w:szCs w:val="22"/>
                <w:lang w:eastAsia="en-IN"/>
              </w:rPr>
              <w:t>FY 2018-19 (Approved)</w:t>
            </w:r>
          </w:p>
        </w:tc>
        <w:tc>
          <w:tcPr>
            <w:tcW w:w="1375" w:type="dxa"/>
            <w:shd w:val="clear" w:color="000000" w:fill="FABF8F"/>
            <w:vAlign w:val="center"/>
            <w:hideMark/>
          </w:tcPr>
          <w:p w:rsidR="00FF7D9D" w:rsidRPr="001A2C0C" w:rsidRDefault="00FF7D9D" w:rsidP="00FF7D9D">
            <w:pPr>
              <w:jc w:val="center"/>
              <w:rPr>
                <w:rFonts w:ascii="Book Antiqua" w:eastAsia="Times New Roman" w:hAnsi="Book Antiqua" w:cs="Arial"/>
                <w:b/>
                <w:bCs/>
                <w:lang w:eastAsia="en-IN"/>
              </w:rPr>
            </w:pPr>
            <w:r w:rsidRPr="001A2C0C">
              <w:rPr>
                <w:rFonts w:ascii="Book Antiqua" w:eastAsia="Times New Roman" w:hAnsi="Book Antiqua" w:cs="Arial"/>
                <w:b/>
                <w:bCs/>
                <w:sz w:val="22"/>
                <w:szCs w:val="22"/>
                <w:lang w:eastAsia="en-IN"/>
              </w:rPr>
              <w:t>FY 2018-19 (Actual)</w:t>
            </w:r>
          </w:p>
        </w:tc>
      </w:tr>
      <w:tr w:rsidR="00866979" w:rsidRPr="001A2C0C" w:rsidTr="001A2C0C">
        <w:trPr>
          <w:trHeight w:val="289"/>
          <w:jc w:val="right"/>
        </w:trPr>
        <w:tc>
          <w:tcPr>
            <w:tcW w:w="617" w:type="dxa"/>
            <w:shd w:val="clear" w:color="000000" w:fill="FFFFFF"/>
            <w:noWrap/>
            <w:vAlign w:val="center"/>
            <w:hideMark/>
          </w:tcPr>
          <w:p w:rsidR="00866979" w:rsidRPr="001A2C0C" w:rsidRDefault="00866979" w:rsidP="00866979">
            <w:pPr>
              <w:jc w:val="center"/>
              <w:rPr>
                <w:rFonts w:ascii="Book Antiqua" w:eastAsia="Times New Roman" w:hAnsi="Book Antiqua" w:cs="Arial"/>
                <w:lang w:eastAsia="en-IN"/>
              </w:rPr>
            </w:pPr>
            <w:r w:rsidRPr="001A2C0C">
              <w:rPr>
                <w:rFonts w:ascii="Book Antiqua" w:eastAsia="Times New Roman" w:hAnsi="Book Antiqua" w:cs="Arial"/>
                <w:lang w:eastAsia="en-IN"/>
              </w:rPr>
              <w:t>1</w:t>
            </w:r>
          </w:p>
        </w:tc>
        <w:tc>
          <w:tcPr>
            <w:tcW w:w="2927" w:type="dxa"/>
            <w:shd w:val="clear" w:color="000000" w:fill="FFFFFF"/>
            <w:noWrap/>
            <w:vAlign w:val="center"/>
            <w:hideMark/>
          </w:tcPr>
          <w:p w:rsidR="00866979" w:rsidRPr="001A2C0C" w:rsidRDefault="00866979" w:rsidP="001A2C0C">
            <w:pPr>
              <w:jc w:val="both"/>
              <w:rPr>
                <w:rFonts w:ascii="Book Antiqua" w:eastAsia="Times New Roman" w:hAnsi="Book Antiqua" w:cs="Arial"/>
                <w:lang w:eastAsia="en-IN"/>
              </w:rPr>
            </w:pPr>
            <w:r w:rsidRPr="001A2C0C">
              <w:rPr>
                <w:rFonts w:ascii="Book Antiqua" w:eastAsia="Times New Roman" w:hAnsi="Book Antiqua" w:cs="Arial"/>
                <w:lang w:eastAsia="en-IN"/>
              </w:rPr>
              <w:t>Agriculture - Metered</w:t>
            </w:r>
          </w:p>
        </w:tc>
        <w:tc>
          <w:tcPr>
            <w:tcW w:w="1378" w:type="dxa"/>
            <w:shd w:val="clear" w:color="auto" w:fill="auto"/>
            <w:noWrap/>
            <w:vAlign w:val="center"/>
            <w:hideMark/>
          </w:tcPr>
          <w:p w:rsidR="00866979" w:rsidRPr="001A2C0C" w:rsidRDefault="00866979" w:rsidP="005C597E">
            <w:pPr>
              <w:jc w:val="right"/>
              <w:rPr>
                <w:rFonts w:ascii="Book Antiqua" w:eastAsia="Times New Roman" w:hAnsi="Book Antiqua" w:cs="Arial"/>
                <w:lang w:eastAsia="en-IN"/>
              </w:rPr>
            </w:pPr>
            <w:r w:rsidRPr="001A2C0C">
              <w:rPr>
                <w:rFonts w:ascii="Book Antiqua" w:eastAsia="Times New Roman" w:hAnsi="Book Antiqua" w:cs="Arial"/>
                <w:lang w:eastAsia="en-IN"/>
              </w:rPr>
              <w:t>3,714</w:t>
            </w:r>
          </w:p>
        </w:tc>
        <w:tc>
          <w:tcPr>
            <w:tcW w:w="1276" w:type="dxa"/>
            <w:shd w:val="clear" w:color="auto" w:fill="auto"/>
            <w:noWrap/>
            <w:vAlign w:val="center"/>
            <w:hideMark/>
          </w:tcPr>
          <w:p w:rsidR="00866979" w:rsidRPr="001A2C0C" w:rsidRDefault="00866979" w:rsidP="00866979">
            <w:pPr>
              <w:jc w:val="right"/>
              <w:rPr>
                <w:rFonts w:ascii="Book Antiqua" w:eastAsia="Times New Roman" w:hAnsi="Book Antiqua" w:cs="Arial"/>
                <w:lang w:eastAsia="en-IN"/>
              </w:rPr>
            </w:pPr>
            <w:r w:rsidRPr="001A2C0C">
              <w:rPr>
                <w:rFonts w:ascii="Book Antiqua" w:eastAsia="Times New Roman" w:hAnsi="Book Antiqua" w:cs="Arial"/>
                <w:lang w:eastAsia="en-IN"/>
              </w:rPr>
              <w:t>3,406</w:t>
            </w:r>
          </w:p>
        </w:tc>
        <w:tc>
          <w:tcPr>
            <w:tcW w:w="1378" w:type="dxa"/>
            <w:shd w:val="clear" w:color="auto" w:fill="auto"/>
            <w:noWrap/>
            <w:vAlign w:val="center"/>
            <w:hideMark/>
          </w:tcPr>
          <w:p w:rsidR="00866979" w:rsidRPr="001A2C0C" w:rsidRDefault="00866979" w:rsidP="005C597E">
            <w:pPr>
              <w:ind w:right="75"/>
              <w:jc w:val="right"/>
              <w:rPr>
                <w:rFonts w:ascii="Book Antiqua" w:eastAsia="Times New Roman" w:hAnsi="Book Antiqua" w:cs="Arial"/>
                <w:lang w:eastAsia="en-IN"/>
              </w:rPr>
            </w:pPr>
            <w:r w:rsidRPr="001A2C0C">
              <w:rPr>
                <w:rFonts w:ascii="Book Antiqua" w:eastAsia="Times New Roman" w:hAnsi="Book Antiqua" w:cs="Arial"/>
                <w:lang w:eastAsia="en-IN"/>
              </w:rPr>
              <w:t>840.51</w:t>
            </w:r>
          </w:p>
        </w:tc>
        <w:tc>
          <w:tcPr>
            <w:tcW w:w="1375" w:type="dxa"/>
            <w:shd w:val="clear" w:color="auto" w:fill="auto"/>
            <w:noWrap/>
            <w:hideMark/>
          </w:tcPr>
          <w:p w:rsidR="00866979" w:rsidRPr="001A2C0C" w:rsidRDefault="00866979" w:rsidP="00866979">
            <w:pPr>
              <w:jc w:val="right"/>
              <w:rPr>
                <w:rFonts w:ascii="Book Antiqua" w:eastAsia="Times New Roman" w:hAnsi="Book Antiqua" w:cs="Arial"/>
                <w:lang w:eastAsia="en-IN"/>
              </w:rPr>
            </w:pPr>
            <w:r w:rsidRPr="001A2C0C">
              <w:rPr>
                <w:rFonts w:ascii="Book Antiqua" w:hAnsi="Book Antiqua"/>
              </w:rPr>
              <w:t>862.80</w:t>
            </w:r>
          </w:p>
        </w:tc>
      </w:tr>
      <w:tr w:rsidR="00866979" w:rsidRPr="001A2C0C" w:rsidTr="001A2C0C">
        <w:trPr>
          <w:trHeight w:val="300"/>
          <w:jc w:val="right"/>
        </w:trPr>
        <w:tc>
          <w:tcPr>
            <w:tcW w:w="617" w:type="dxa"/>
            <w:shd w:val="clear" w:color="000000" w:fill="FFFFFF"/>
            <w:noWrap/>
            <w:vAlign w:val="center"/>
            <w:hideMark/>
          </w:tcPr>
          <w:p w:rsidR="00866979" w:rsidRPr="001A2C0C" w:rsidRDefault="00866979" w:rsidP="00866979">
            <w:pPr>
              <w:jc w:val="center"/>
              <w:rPr>
                <w:rFonts w:ascii="Book Antiqua" w:eastAsia="Times New Roman" w:hAnsi="Book Antiqua" w:cs="Arial"/>
                <w:lang w:eastAsia="en-IN"/>
              </w:rPr>
            </w:pPr>
            <w:r w:rsidRPr="001A2C0C">
              <w:rPr>
                <w:rFonts w:ascii="Book Antiqua" w:eastAsia="Times New Roman" w:hAnsi="Book Antiqua" w:cs="Arial"/>
                <w:lang w:eastAsia="en-IN"/>
              </w:rPr>
              <w:t>2</w:t>
            </w:r>
          </w:p>
        </w:tc>
        <w:tc>
          <w:tcPr>
            <w:tcW w:w="2927" w:type="dxa"/>
            <w:shd w:val="clear" w:color="000000" w:fill="FFFFFF"/>
            <w:noWrap/>
            <w:vAlign w:val="center"/>
            <w:hideMark/>
          </w:tcPr>
          <w:p w:rsidR="00866979" w:rsidRPr="001A2C0C" w:rsidRDefault="00866979" w:rsidP="001A2C0C">
            <w:pPr>
              <w:jc w:val="both"/>
              <w:rPr>
                <w:rFonts w:ascii="Book Antiqua" w:eastAsia="Times New Roman" w:hAnsi="Book Antiqua" w:cs="Arial"/>
                <w:lang w:eastAsia="en-IN"/>
              </w:rPr>
            </w:pPr>
            <w:r w:rsidRPr="001A2C0C">
              <w:rPr>
                <w:rFonts w:ascii="Book Antiqua" w:eastAsia="Times New Roman" w:hAnsi="Book Antiqua" w:cs="Arial"/>
                <w:lang w:eastAsia="en-IN"/>
              </w:rPr>
              <w:t>Agriculture - Unmetered</w:t>
            </w:r>
          </w:p>
        </w:tc>
        <w:tc>
          <w:tcPr>
            <w:tcW w:w="1378" w:type="dxa"/>
            <w:shd w:val="clear" w:color="auto" w:fill="auto"/>
            <w:noWrap/>
            <w:vAlign w:val="center"/>
            <w:hideMark/>
          </w:tcPr>
          <w:p w:rsidR="00866979" w:rsidRPr="001A2C0C" w:rsidRDefault="00866979" w:rsidP="005C597E">
            <w:pPr>
              <w:jc w:val="right"/>
              <w:rPr>
                <w:rFonts w:ascii="Book Antiqua" w:eastAsia="Times New Roman" w:hAnsi="Book Antiqua" w:cs="Arial"/>
                <w:lang w:eastAsia="en-IN"/>
              </w:rPr>
            </w:pPr>
            <w:r w:rsidRPr="001A2C0C">
              <w:rPr>
                <w:rFonts w:ascii="Book Antiqua" w:eastAsia="Times New Roman" w:hAnsi="Book Antiqua" w:cs="Arial"/>
                <w:lang w:eastAsia="en-IN"/>
              </w:rPr>
              <w:t>6,219</w:t>
            </w:r>
          </w:p>
        </w:tc>
        <w:tc>
          <w:tcPr>
            <w:tcW w:w="1276" w:type="dxa"/>
            <w:shd w:val="clear" w:color="auto" w:fill="auto"/>
            <w:noWrap/>
            <w:vAlign w:val="center"/>
            <w:hideMark/>
          </w:tcPr>
          <w:p w:rsidR="00866979" w:rsidRPr="001A2C0C" w:rsidRDefault="00866979" w:rsidP="00866979">
            <w:pPr>
              <w:jc w:val="right"/>
              <w:rPr>
                <w:rFonts w:ascii="Book Antiqua" w:eastAsia="Times New Roman" w:hAnsi="Book Antiqua" w:cs="Arial"/>
                <w:lang w:eastAsia="en-IN"/>
              </w:rPr>
            </w:pPr>
            <w:r w:rsidRPr="001A2C0C">
              <w:rPr>
                <w:rFonts w:ascii="Book Antiqua" w:eastAsia="Times New Roman" w:hAnsi="Book Antiqua" w:cs="Arial"/>
                <w:lang w:eastAsia="en-IN"/>
              </w:rPr>
              <w:t>6,331</w:t>
            </w:r>
          </w:p>
        </w:tc>
        <w:tc>
          <w:tcPr>
            <w:tcW w:w="1378" w:type="dxa"/>
            <w:shd w:val="clear" w:color="auto" w:fill="auto"/>
            <w:noWrap/>
            <w:vAlign w:val="center"/>
            <w:hideMark/>
          </w:tcPr>
          <w:p w:rsidR="00866979" w:rsidRPr="001A2C0C" w:rsidRDefault="00866979" w:rsidP="005C597E">
            <w:pPr>
              <w:ind w:right="75"/>
              <w:jc w:val="right"/>
              <w:rPr>
                <w:rFonts w:ascii="Book Antiqua" w:eastAsia="Times New Roman" w:hAnsi="Book Antiqua" w:cs="Arial"/>
                <w:lang w:eastAsia="en-IN"/>
              </w:rPr>
            </w:pPr>
            <w:r w:rsidRPr="001A2C0C">
              <w:rPr>
                <w:rFonts w:ascii="Book Antiqua" w:eastAsia="Times New Roman" w:hAnsi="Book Antiqua" w:cs="Arial"/>
                <w:lang w:eastAsia="en-IN"/>
              </w:rPr>
              <w:t>1,807.22</w:t>
            </w:r>
          </w:p>
        </w:tc>
        <w:tc>
          <w:tcPr>
            <w:tcW w:w="1375" w:type="dxa"/>
            <w:shd w:val="clear" w:color="auto" w:fill="auto"/>
            <w:hideMark/>
          </w:tcPr>
          <w:p w:rsidR="00866979" w:rsidRPr="001A2C0C" w:rsidRDefault="00866979" w:rsidP="005C597E">
            <w:pPr>
              <w:jc w:val="right"/>
              <w:rPr>
                <w:rFonts w:ascii="Book Antiqua" w:eastAsia="Times New Roman" w:hAnsi="Book Antiqua" w:cs="Arial"/>
                <w:lang w:eastAsia="en-IN"/>
              </w:rPr>
            </w:pPr>
            <w:r w:rsidRPr="001A2C0C">
              <w:rPr>
                <w:rFonts w:ascii="Book Antiqua" w:hAnsi="Book Antiqua"/>
              </w:rPr>
              <w:t>2229.61</w:t>
            </w:r>
          </w:p>
        </w:tc>
      </w:tr>
      <w:tr w:rsidR="00FF7D9D" w:rsidRPr="001A2C0C" w:rsidTr="001A2C0C">
        <w:trPr>
          <w:trHeight w:val="300"/>
          <w:jc w:val="right"/>
        </w:trPr>
        <w:tc>
          <w:tcPr>
            <w:tcW w:w="617" w:type="dxa"/>
            <w:shd w:val="clear" w:color="000000" w:fill="FFFFFF"/>
            <w:noWrap/>
            <w:vAlign w:val="center"/>
          </w:tcPr>
          <w:p w:rsidR="00FF7D9D" w:rsidRPr="001A2C0C" w:rsidRDefault="00FF7D9D">
            <w:pPr>
              <w:jc w:val="center"/>
              <w:rPr>
                <w:rFonts w:ascii="Book Antiqua" w:eastAsia="Times New Roman" w:hAnsi="Book Antiqua" w:cs="Arial"/>
                <w:b/>
                <w:bCs/>
                <w:lang w:eastAsia="en-IN"/>
              </w:rPr>
            </w:pPr>
            <w:r w:rsidRPr="001A2C0C">
              <w:rPr>
                <w:rFonts w:ascii="Book Antiqua" w:hAnsi="Book Antiqua"/>
                <w:b/>
                <w:bCs/>
              </w:rPr>
              <w:t>3</w:t>
            </w:r>
          </w:p>
        </w:tc>
        <w:tc>
          <w:tcPr>
            <w:tcW w:w="2927" w:type="dxa"/>
            <w:shd w:val="clear" w:color="000000" w:fill="FFFFFF"/>
            <w:noWrap/>
            <w:vAlign w:val="center"/>
          </w:tcPr>
          <w:p w:rsidR="00FF7D9D" w:rsidRPr="001A2C0C" w:rsidRDefault="00FF7D9D" w:rsidP="001A2C0C">
            <w:pPr>
              <w:jc w:val="right"/>
              <w:rPr>
                <w:rFonts w:ascii="Book Antiqua" w:eastAsia="Times New Roman" w:hAnsi="Book Antiqua" w:cs="Arial"/>
                <w:b/>
                <w:bCs/>
                <w:lang w:eastAsia="en-IN"/>
              </w:rPr>
            </w:pPr>
            <w:r w:rsidRPr="001A2C0C">
              <w:rPr>
                <w:rFonts w:ascii="Book Antiqua" w:hAnsi="Book Antiqua"/>
                <w:b/>
                <w:bCs/>
              </w:rPr>
              <w:t xml:space="preserve">Total </w:t>
            </w:r>
          </w:p>
        </w:tc>
        <w:tc>
          <w:tcPr>
            <w:tcW w:w="1378" w:type="dxa"/>
            <w:shd w:val="clear" w:color="auto" w:fill="auto"/>
            <w:noWrap/>
            <w:vAlign w:val="center"/>
          </w:tcPr>
          <w:p w:rsidR="00FF7D9D" w:rsidRPr="001A2C0C" w:rsidRDefault="00FF7D9D" w:rsidP="005C597E">
            <w:pPr>
              <w:jc w:val="right"/>
              <w:rPr>
                <w:rFonts w:ascii="Book Antiqua" w:eastAsia="Times New Roman" w:hAnsi="Book Antiqua"/>
                <w:b/>
                <w:bCs/>
                <w:lang w:eastAsia="en-IN"/>
              </w:rPr>
            </w:pPr>
            <w:r w:rsidRPr="001A2C0C">
              <w:rPr>
                <w:rFonts w:ascii="Book Antiqua" w:eastAsia="Times New Roman" w:hAnsi="Book Antiqua"/>
                <w:b/>
                <w:bCs/>
                <w:lang w:eastAsia="en-IN"/>
              </w:rPr>
              <w:t>9,933</w:t>
            </w:r>
          </w:p>
        </w:tc>
        <w:tc>
          <w:tcPr>
            <w:tcW w:w="1276" w:type="dxa"/>
            <w:shd w:val="clear" w:color="auto" w:fill="auto"/>
            <w:noWrap/>
            <w:vAlign w:val="center"/>
          </w:tcPr>
          <w:p w:rsidR="00FF7D9D" w:rsidRPr="001A2C0C" w:rsidRDefault="00FF7D9D">
            <w:pPr>
              <w:jc w:val="right"/>
              <w:rPr>
                <w:rFonts w:ascii="Book Antiqua" w:eastAsia="Times New Roman" w:hAnsi="Book Antiqua" w:cs="Arial"/>
                <w:b/>
                <w:bCs/>
                <w:lang w:eastAsia="en-IN"/>
              </w:rPr>
            </w:pPr>
            <w:r w:rsidRPr="001A2C0C">
              <w:rPr>
                <w:rFonts w:ascii="Book Antiqua" w:hAnsi="Book Antiqua"/>
                <w:b/>
                <w:bCs/>
              </w:rPr>
              <w:t>9,737</w:t>
            </w:r>
          </w:p>
        </w:tc>
        <w:tc>
          <w:tcPr>
            <w:tcW w:w="1378" w:type="dxa"/>
            <w:shd w:val="clear" w:color="auto" w:fill="auto"/>
            <w:noWrap/>
            <w:vAlign w:val="center"/>
          </w:tcPr>
          <w:p w:rsidR="00FF7D9D" w:rsidRPr="001A2C0C" w:rsidRDefault="00FF7D9D" w:rsidP="005C597E">
            <w:pPr>
              <w:ind w:right="75"/>
              <w:jc w:val="right"/>
              <w:rPr>
                <w:rFonts w:ascii="Book Antiqua" w:eastAsia="Times New Roman" w:hAnsi="Book Antiqua" w:cs="Arial"/>
                <w:b/>
                <w:bCs/>
                <w:lang w:eastAsia="en-IN"/>
              </w:rPr>
            </w:pPr>
            <w:r w:rsidRPr="001A2C0C">
              <w:rPr>
                <w:rFonts w:ascii="Book Antiqua" w:hAnsi="Book Antiqua"/>
                <w:b/>
                <w:bCs/>
              </w:rPr>
              <w:t>2,647.73</w:t>
            </w:r>
          </w:p>
        </w:tc>
        <w:tc>
          <w:tcPr>
            <w:tcW w:w="1375" w:type="dxa"/>
            <w:shd w:val="clear" w:color="auto" w:fill="auto"/>
            <w:vAlign w:val="center"/>
          </w:tcPr>
          <w:p w:rsidR="00FF7D9D" w:rsidRPr="001A2C0C" w:rsidRDefault="00FF7D9D" w:rsidP="005C597E">
            <w:pPr>
              <w:jc w:val="right"/>
              <w:rPr>
                <w:rFonts w:ascii="Book Antiqua" w:eastAsia="Times New Roman" w:hAnsi="Book Antiqua" w:cs="Arial"/>
                <w:b/>
                <w:bCs/>
                <w:lang w:eastAsia="en-IN"/>
              </w:rPr>
            </w:pPr>
            <w:r w:rsidRPr="001A2C0C">
              <w:rPr>
                <w:rFonts w:ascii="Book Antiqua" w:eastAsia="Times New Roman" w:hAnsi="Book Antiqua" w:cs="Arial"/>
                <w:b/>
                <w:bCs/>
                <w:lang w:eastAsia="en-IN"/>
              </w:rPr>
              <w:t>3,092.41</w:t>
            </w:r>
          </w:p>
        </w:tc>
      </w:tr>
    </w:tbl>
    <w:p w:rsidR="00FF7D9D" w:rsidRDefault="00FF7D9D" w:rsidP="005C597E">
      <w:pPr>
        <w:spacing w:after="240" w:line="276" w:lineRule="auto"/>
        <w:jc w:val="both"/>
        <w:rPr>
          <w:rFonts w:eastAsia="Times New Roman"/>
          <w:color w:val="000000"/>
        </w:rPr>
      </w:pPr>
    </w:p>
    <w:p w:rsidR="00D20D68" w:rsidRPr="00247BCE" w:rsidRDefault="00D20D68">
      <w:pPr>
        <w:numPr>
          <w:ilvl w:val="1"/>
          <w:numId w:val="3"/>
        </w:numPr>
        <w:spacing w:after="240" w:line="276" w:lineRule="auto"/>
        <w:ind w:hanging="357"/>
        <w:jc w:val="both"/>
        <w:rPr>
          <w:rFonts w:eastAsia="Times New Roman"/>
          <w:b/>
          <w:bCs/>
          <w:color w:val="000000"/>
        </w:rPr>
      </w:pPr>
      <w:r w:rsidRPr="001A2C0C">
        <w:rPr>
          <w:rFonts w:ascii="Book Antiqua" w:eastAsia="Times New Roman" w:hAnsi="Book Antiqua"/>
          <w:b/>
          <w:bCs/>
          <w:color w:val="000000"/>
        </w:rPr>
        <w:t xml:space="preserve">Explain the increase in revenue by around Rs. 440 crore as compared to approved revenue, though the actual metered sales are lower by around 300 </w:t>
      </w:r>
      <w:r w:rsidRPr="00247BCE">
        <w:rPr>
          <w:rFonts w:ascii="Book Antiqua" w:eastAsia="Times New Roman" w:hAnsi="Book Antiqua"/>
          <w:b/>
          <w:bCs/>
          <w:color w:val="000000"/>
        </w:rPr>
        <w:t>MU</w:t>
      </w:r>
      <w:r w:rsidR="001A2C0C" w:rsidRPr="00247BCE">
        <w:rPr>
          <w:rFonts w:ascii="Book Antiqua" w:eastAsia="Times New Roman" w:hAnsi="Book Antiqua"/>
          <w:b/>
          <w:bCs/>
          <w:color w:val="000000"/>
        </w:rPr>
        <w:t>s</w:t>
      </w:r>
      <w:r w:rsidRPr="00247BCE">
        <w:rPr>
          <w:rFonts w:ascii="Book Antiqua" w:eastAsia="Times New Roman" w:hAnsi="Book Antiqua"/>
          <w:b/>
          <w:bCs/>
          <w:color w:val="000000"/>
        </w:rPr>
        <w:t xml:space="preserve"> and the unmetered sales are higher by around 110 MU</w:t>
      </w:r>
      <w:r w:rsidR="001A2C0C" w:rsidRPr="00247BCE">
        <w:rPr>
          <w:rFonts w:ascii="Book Antiqua" w:eastAsia="Times New Roman" w:hAnsi="Book Antiqua"/>
          <w:b/>
          <w:bCs/>
          <w:color w:val="000000"/>
        </w:rPr>
        <w:t>s.</w:t>
      </w:r>
    </w:p>
    <w:p w:rsidR="003255F2" w:rsidRPr="00247BCE" w:rsidRDefault="003255F2">
      <w:pPr>
        <w:spacing w:after="240"/>
        <w:ind w:left="426"/>
        <w:jc w:val="both"/>
        <w:rPr>
          <w:rFonts w:ascii="Book Antiqua" w:hAnsi="Book Antiqua"/>
          <w:b/>
          <w:bCs/>
          <w:lang w:val="en-GB"/>
        </w:rPr>
      </w:pPr>
      <w:r w:rsidRPr="00247BCE">
        <w:rPr>
          <w:rFonts w:ascii="Book Antiqua" w:hAnsi="Book Antiqua"/>
          <w:b/>
          <w:bCs/>
          <w:lang w:val="en-GB"/>
        </w:rPr>
        <w:t>Compliance:</w:t>
      </w:r>
      <w:r w:rsidR="005850DF" w:rsidRPr="00247BCE">
        <w:rPr>
          <w:rFonts w:ascii="Book Antiqua" w:hAnsi="Book Antiqua"/>
          <w:b/>
          <w:bCs/>
          <w:lang w:val="en-GB"/>
        </w:rPr>
        <w:t xml:space="preserve"> -</w:t>
      </w:r>
    </w:p>
    <w:p w:rsidR="00866979" w:rsidRDefault="00866979" w:rsidP="005C597E">
      <w:pPr>
        <w:spacing w:after="240"/>
        <w:ind w:left="709"/>
        <w:jc w:val="both"/>
        <w:rPr>
          <w:rFonts w:ascii="Book Antiqua" w:eastAsia="Times New Roman" w:hAnsi="Book Antiqua"/>
          <w:color w:val="000000"/>
        </w:rPr>
      </w:pPr>
      <w:r w:rsidRPr="00866979">
        <w:rPr>
          <w:rFonts w:ascii="Book Antiqua" w:eastAsia="Times New Roman" w:hAnsi="Book Antiqua"/>
          <w:color w:val="000000"/>
        </w:rPr>
        <w:t xml:space="preserve">Increase in Revenue in Agriculture category is due to </w:t>
      </w:r>
      <w:r w:rsidR="00AD18C5">
        <w:rPr>
          <w:rFonts w:ascii="Book Antiqua" w:eastAsia="Times New Roman" w:hAnsi="Book Antiqua"/>
          <w:color w:val="000000"/>
        </w:rPr>
        <w:t xml:space="preserve">an </w:t>
      </w:r>
      <w:r w:rsidR="001A2C0C" w:rsidRPr="00866979">
        <w:rPr>
          <w:rFonts w:ascii="Book Antiqua" w:eastAsia="Times New Roman" w:hAnsi="Book Antiqua"/>
          <w:color w:val="000000"/>
        </w:rPr>
        <w:t xml:space="preserve">amount </w:t>
      </w:r>
      <w:r w:rsidR="001A2C0C">
        <w:rPr>
          <w:rFonts w:ascii="Book Antiqua" w:eastAsia="Times New Roman" w:hAnsi="Book Antiqua"/>
          <w:color w:val="000000"/>
        </w:rPr>
        <w:t xml:space="preserve">of Rs. 223.94 Crore </w:t>
      </w:r>
      <w:r w:rsidRPr="00866979">
        <w:rPr>
          <w:rFonts w:ascii="Book Antiqua" w:eastAsia="Times New Roman" w:hAnsi="Book Antiqua"/>
          <w:color w:val="000000"/>
        </w:rPr>
        <w:t>recei</w:t>
      </w:r>
      <w:r w:rsidR="00AD18C5">
        <w:rPr>
          <w:rFonts w:ascii="Book Antiqua" w:eastAsia="Times New Roman" w:hAnsi="Book Antiqua"/>
          <w:color w:val="000000"/>
        </w:rPr>
        <w:t>ved</w:t>
      </w:r>
      <w:r w:rsidR="001A2C0C">
        <w:rPr>
          <w:rFonts w:ascii="Book Antiqua" w:eastAsia="Times New Roman" w:hAnsi="Book Antiqua"/>
          <w:color w:val="000000"/>
        </w:rPr>
        <w:t xml:space="preserve">against </w:t>
      </w:r>
      <w:r w:rsidR="001A2C0C" w:rsidRPr="00866979">
        <w:rPr>
          <w:rFonts w:ascii="Book Antiqua" w:eastAsia="Times New Roman" w:hAnsi="Book Antiqua"/>
          <w:color w:val="000000"/>
        </w:rPr>
        <w:t>previous years</w:t>
      </w:r>
      <w:r w:rsidR="001A2C0C">
        <w:rPr>
          <w:rFonts w:ascii="Book Antiqua" w:eastAsia="Times New Roman" w:hAnsi="Book Antiqua"/>
          <w:color w:val="000000"/>
        </w:rPr>
        <w:t xml:space="preserve"> s</w:t>
      </w:r>
      <w:r w:rsidRPr="00866979">
        <w:rPr>
          <w:rFonts w:ascii="Book Antiqua" w:eastAsia="Times New Roman" w:hAnsi="Book Antiqua"/>
          <w:color w:val="000000"/>
        </w:rPr>
        <w:t xml:space="preserve">ubsidy </w:t>
      </w:r>
      <w:r w:rsidRPr="00B9373B">
        <w:rPr>
          <w:rFonts w:ascii="Book Antiqua" w:eastAsia="Times New Roman" w:hAnsi="Book Antiqua"/>
          <w:color w:val="000000"/>
        </w:rPr>
        <w:t>deficit</w:t>
      </w:r>
      <w:r w:rsidR="001A2C0C" w:rsidRPr="00B9373B">
        <w:rPr>
          <w:rFonts w:ascii="Book Antiqua" w:eastAsia="Times New Roman" w:hAnsi="Book Antiqua"/>
          <w:color w:val="000000"/>
        </w:rPr>
        <w:t>.</w:t>
      </w:r>
      <w:r w:rsidR="008E7304" w:rsidRPr="00B9373B">
        <w:rPr>
          <w:rFonts w:ascii="Book Antiqua" w:eastAsia="Times New Roman" w:hAnsi="Book Antiqua"/>
          <w:color w:val="000000"/>
        </w:rPr>
        <w:t>Approved FPPPA rate is Rs.1.49</w:t>
      </w:r>
      <w:r w:rsidR="00D30066" w:rsidRPr="000B4E4F">
        <w:rPr>
          <w:rFonts w:ascii="Book Antiqua" w:eastAsia="Times New Roman" w:hAnsi="Book Antiqua"/>
          <w:color w:val="000000"/>
        </w:rPr>
        <w:t>/unit</w:t>
      </w:r>
      <w:r w:rsidR="008E7304" w:rsidRPr="00B9373B">
        <w:rPr>
          <w:rFonts w:ascii="Book Antiqua" w:eastAsia="Times New Roman" w:hAnsi="Book Antiqua"/>
          <w:color w:val="000000"/>
        </w:rPr>
        <w:t xml:space="preserve"> whereas actual average FPPPA rate is Rs.1.71</w:t>
      </w:r>
      <w:r w:rsidR="00D30066" w:rsidRPr="00B9373B">
        <w:rPr>
          <w:rFonts w:ascii="Book Antiqua" w:eastAsia="Times New Roman" w:hAnsi="Book Antiqua"/>
          <w:color w:val="000000"/>
        </w:rPr>
        <w:t>/unit.A</w:t>
      </w:r>
      <w:r w:rsidR="00C82A7A" w:rsidRPr="00B9373B">
        <w:rPr>
          <w:rFonts w:ascii="Book Antiqua" w:eastAsia="Times New Roman" w:hAnsi="Book Antiqua"/>
          <w:color w:val="000000"/>
        </w:rPr>
        <w:t>ccordingly</w:t>
      </w:r>
      <w:r w:rsidR="000B4E4F">
        <w:rPr>
          <w:rFonts w:ascii="Book Antiqua" w:eastAsia="Times New Roman" w:hAnsi="Book Antiqua"/>
          <w:color w:val="000000"/>
        </w:rPr>
        <w:t>,</w:t>
      </w:r>
      <w:r w:rsidR="00C82A7A" w:rsidRPr="00B9373B">
        <w:rPr>
          <w:rFonts w:ascii="Book Antiqua" w:eastAsia="Times New Roman" w:hAnsi="Book Antiqua"/>
          <w:color w:val="000000"/>
        </w:rPr>
        <w:t xml:space="preserve"> revenue </w:t>
      </w:r>
      <w:r w:rsidR="00D30066" w:rsidRPr="00B9373B">
        <w:rPr>
          <w:rFonts w:ascii="Book Antiqua" w:eastAsia="Times New Roman" w:hAnsi="Book Antiqua"/>
          <w:color w:val="000000"/>
        </w:rPr>
        <w:t>has</w:t>
      </w:r>
      <w:r w:rsidR="00C82A7A" w:rsidRPr="00B9373B">
        <w:rPr>
          <w:rFonts w:ascii="Book Antiqua" w:eastAsia="Times New Roman" w:hAnsi="Book Antiqua"/>
          <w:color w:val="000000"/>
        </w:rPr>
        <w:t xml:space="preserve"> increased as compared to approved revenue</w:t>
      </w:r>
      <w:r w:rsidR="00D30066" w:rsidRPr="00B9373B">
        <w:rPr>
          <w:rFonts w:ascii="Book Antiqua" w:eastAsia="Times New Roman" w:hAnsi="Book Antiqua"/>
          <w:color w:val="000000"/>
        </w:rPr>
        <w:t>.</w:t>
      </w:r>
    </w:p>
    <w:p w:rsidR="005C597E" w:rsidRPr="005C597E" w:rsidRDefault="005C597E" w:rsidP="007D4215">
      <w:pPr>
        <w:spacing w:after="240"/>
        <w:ind w:left="709"/>
        <w:jc w:val="both"/>
        <w:rPr>
          <w:rFonts w:ascii="Book Antiqua" w:eastAsia="Times New Roman" w:hAnsi="Book Antiqua"/>
          <w:color w:val="000000"/>
        </w:rPr>
      </w:pPr>
    </w:p>
    <w:p w:rsidR="00D20D68" w:rsidRPr="00247BCE" w:rsidRDefault="00D20D68">
      <w:pPr>
        <w:numPr>
          <w:ilvl w:val="1"/>
          <w:numId w:val="3"/>
        </w:numPr>
        <w:spacing w:after="240" w:line="276" w:lineRule="auto"/>
        <w:ind w:hanging="357"/>
        <w:jc w:val="both"/>
        <w:rPr>
          <w:rFonts w:eastAsia="Times New Roman"/>
          <w:b/>
          <w:bCs/>
          <w:color w:val="000000"/>
        </w:rPr>
      </w:pPr>
      <w:r w:rsidRPr="00247BCE">
        <w:rPr>
          <w:rFonts w:ascii="Book Antiqua" w:eastAsia="Times New Roman" w:hAnsi="Book Antiqua"/>
          <w:b/>
          <w:bCs/>
          <w:color w:val="000000"/>
        </w:rPr>
        <w:t>Explain why the metered sales are lower than approved sales, while the unmetered sales are higher than respective approved sales</w:t>
      </w:r>
    </w:p>
    <w:p w:rsidR="003255F2" w:rsidRPr="00247BCE" w:rsidRDefault="003255F2">
      <w:pPr>
        <w:spacing w:after="240"/>
        <w:ind w:left="426"/>
        <w:jc w:val="both"/>
        <w:rPr>
          <w:rFonts w:ascii="Book Antiqua" w:hAnsi="Book Antiqua"/>
          <w:b/>
          <w:bCs/>
          <w:lang w:val="en-GB"/>
        </w:rPr>
      </w:pPr>
      <w:r w:rsidRPr="00247BCE">
        <w:rPr>
          <w:rFonts w:ascii="Book Antiqua" w:hAnsi="Book Antiqua"/>
          <w:b/>
          <w:bCs/>
          <w:lang w:val="en-GB"/>
        </w:rPr>
        <w:t>Compliance:</w:t>
      </w:r>
      <w:r w:rsidR="005850DF" w:rsidRPr="00247BCE">
        <w:rPr>
          <w:rFonts w:ascii="Book Antiqua" w:hAnsi="Book Antiqua"/>
          <w:b/>
          <w:bCs/>
          <w:lang w:val="en-GB"/>
        </w:rPr>
        <w:t xml:space="preserve"> -</w:t>
      </w:r>
    </w:p>
    <w:p w:rsidR="003255F2" w:rsidRDefault="001A2C0C" w:rsidP="005C597E">
      <w:pPr>
        <w:spacing w:after="240" w:line="276" w:lineRule="auto"/>
        <w:ind w:left="709"/>
        <w:jc w:val="both"/>
        <w:rPr>
          <w:rFonts w:ascii="Book Antiqua" w:eastAsia="Times New Roman" w:hAnsi="Book Antiqua"/>
          <w:color w:val="000000"/>
        </w:rPr>
      </w:pPr>
      <w:r>
        <w:rPr>
          <w:rFonts w:ascii="Book Antiqua" w:eastAsia="Times New Roman" w:hAnsi="Book Antiqua"/>
          <w:color w:val="000000"/>
        </w:rPr>
        <w:t>D</w:t>
      </w:r>
      <w:r w:rsidR="00866979" w:rsidRPr="005C597E">
        <w:rPr>
          <w:rFonts w:ascii="Book Antiqua" w:eastAsia="Times New Roman" w:hAnsi="Book Antiqua"/>
          <w:color w:val="000000"/>
        </w:rPr>
        <w:t xml:space="preserve">ecrease in sale of metered consumers is on account of higher projection made for new </w:t>
      </w:r>
      <w:r>
        <w:rPr>
          <w:rFonts w:ascii="Book Antiqua" w:eastAsia="Times New Roman" w:hAnsi="Book Antiqua"/>
          <w:color w:val="000000"/>
        </w:rPr>
        <w:t xml:space="preserve">connections </w:t>
      </w:r>
      <w:r w:rsidR="00866979" w:rsidRPr="005C597E">
        <w:rPr>
          <w:rFonts w:ascii="Book Antiqua" w:eastAsia="Times New Roman" w:hAnsi="Book Antiqua"/>
          <w:color w:val="000000"/>
        </w:rPr>
        <w:t xml:space="preserve">release </w:t>
      </w:r>
      <w:r>
        <w:rPr>
          <w:rFonts w:ascii="Book Antiqua" w:eastAsia="Times New Roman" w:hAnsi="Book Antiqua"/>
          <w:color w:val="000000"/>
        </w:rPr>
        <w:t>to the</w:t>
      </w:r>
      <w:r w:rsidR="00866979" w:rsidRPr="005C597E">
        <w:rPr>
          <w:rFonts w:ascii="Book Antiqua" w:eastAsia="Times New Roman" w:hAnsi="Book Antiqua"/>
          <w:color w:val="000000"/>
        </w:rPr>
        <w:t xml:space="preserve"> AG consumers </w:t>
      </w:r>
      <w:r>
        <w:rPr>
          <w:rFonts w:ascii="Book Antiqua" w:eastAsia="Times New Roman" w:hAnsi="Book Antiqua"/>
          <w:color w:val="000000"/>
        </w:rPr>
        <w:t>during FY 2015 -</w:t>
      </w:r>
      <w:r w:rsidR="00866979" w:rsidRPr="005C597E">
        <w:rPr>
          <w:rFonts w:ascii="Book Antiqua" w:eastAsia="Times New Roman" w:hAnsi="Book Antiqua"/>
          <w:color w:val="000000"/>
        </w:rPr>
        <w:t>16</w:t>
      </w:r>
      <w:r w:rsidR="00AD18C5">
        <w:rPr>
          <w:rFonts w:ascii="Book Antiqua" w:eastAsia="Times New Roman" w:hAnsi="Book Antiqua"/>
          <w:color w:val="000000"/>
        </w:rPr>
        <w:t>,</w:t>
      </w:r>
      <w:r w:rsidR="00866979" w:rsidRPr="005C597E">
        <w:rPr>
          <w:rFonts w:ascii="Book Antiqua" w:eastAsia="Times New Roman" w:hAnsi="Book Antiqua"/>
          <w:color w:val="000000"/>
        </w:rPr>
        <w:t xml:space="preserve"> i.e.</w:t>
      </w:r>
      <w:r w:rsidR="00AD18C5">
        <w:rPr>
          <w:rFonts w:ascii="Book Antiqua" w:eastAsia="Times New Roman" w:hAnsi="Book Antiqua"/>
          <w:color w:val="000000"/>
        </w:rPr>
        <w:t>,</w:t>
      </w:r>
      <w:r w:rsidR="00866979" w:rsidRPr="005C597E">
        <w:rPr>
          <w:rFonts w:ascii="Book Antiqua" w:eastAsia="Times New Roman" w:hAnsi="Book Antiqua"/>
          <w:color w:val="000000"/>
        </w:rPr>
        <w:t xml:space="preserve"> 25,000 nos of connections </w:t>
      </w:r>
      <w:r w:rsidR="00AD18C5">
        <w:rPr>
          <w:rFonts w:ascii="Book Antiqua" w:eastAsia="Times New Roman" w:hAnsi="Book Antiqua"/>
          <w:color w:val="000000"/>
        </w:rPr>
        <w:t>w</w:t>
      </w:r>
      <w:r w:rsidR="00E970E8">
        <w:rPr>
          <w:rFonts w:ascii="Book Antiqua" w:eastAsia="Times New Roman" w:hAnsi="Book Antiqua"/>
          <w:color w:val="000000"/>
        </w:rPr>
        <w:t>ere</w:t>
      </w:r>
      <w:r w:rsidR="00AD18C5">
        <w:rPr>
          <w:rFonts w:ascii="Book Antiqua" w:eastAsia="Times New Roman" w:hAnsi="Book Antiqua"/>
          <w:color w:val="000000"/>
        </w:rPr>
        <w:t xml:space="preserve"> expected to be</w:t>
      </w:r>
      <w:r w:rsidR="00866979" w:rsidRPr="005C597E">
        <w:rPr>
          <w:rFonts w:ascii="Book Antiqua" w:eastAsia="Times New Roman" w:hAnsi="Book Antiqua"/>
          <w:color w:val="000000"/>
        </w:rPr>
        <w:t xml:space="preserve"> released every year</w:t>
      </w:r>
      <w:r w:rsidR="00AD18C5">
        <w:rPr>
          <w:rFonts w:ascii="Book Antiqua" w:eastAsia="Times New Roman" w:hAnsi="Book Antiqua"/>
          <w:color w:val="000000"/>
        </w:rPr>
        <w:t>.</w:t>
      </w:r>
      <w:r w:rsidR="00E970E8">
        <w:rPr>
          <w:rFonts w:ascii="Book Antiqua" w:eastAsia="Times New Roman" w:hAnsi="Book Antiqua"/>
          <w:color w:val="000000"/>
        </w:rPr>
        <w:t>Therefore</w:t>
      </w:r>
      <w:r w:rsidR="00AD18C5">
        <w:rPr>
          <w:rFonts w:ascii="Book Antiqua" w:eastAsia="Times New Roman" w:hAnsi="Book Antiqua"/>
          <w:color w:val="000000"/>
        </w:rPr>
        <w:t xml:space="preserve">, </w:t>
      </w:r>
      <w:r w:rsidR="00866979" w:rsidRPr="005C597E">
        <w:rPr>
          <w:rFonts w:ascii="Book Antiqua" w:eastAsia="Times New Roman" w:hAnsi="Book Antiqua"/>
          <w:color w:val="000000"/>
        </w:rPr>
        <w:t xml:space="preserve">461 MUwere projected every year. </w:t>
      </w:r>
      <w:r w:rsidR="00AD18C5">
        <w:rPr>
          <w:rFonts w:ascii="Book Antiqua" w:eastAsia="Times New Roman" w:hAnsi="Book Antiqua"/>
          <w:color w:val="000000"/>
        </w:rPr>
        <w:t>A</w:t>
      </w:r>
      <w:r w:rsidR="00866979" w:rsidRPr="005C597E">
        <w:rPr>
          <w:rFonts w:ascii="Book Antiqua" w:eastAsia="Times New Roman" w:hAnsi="Book Antiqua"/>
          <w:color w:val="000000"/>
        </w:rPr>
        <w:t xml:space="preserve">ctual release of connections </w:t>
      </w:r>
      <w:r w:rsidR="00826993">
        <w:rPr>
          <w:rFonts w:ascii="Book Antiqua" w:eastAsia="Times New Roman" w:hAnsi="Book Antiqua"/>
          <w:color w:val="000000"/>
        </w:rPr>
        <w:t>was</w:t>
      </w:r>
      <w:r w:rsidR="00866979" w:rsidRPr="005C597E">
        <w:rPr>
          <w:rFonts w:ascii="Book Antiqua" w:eastAsia="Times New Roman" w:hAnsi="Book Antiqua"/>
          <w:color w:val="000000"/>
        </w:rPr>
        <w:t xml:space="preserve"> lesser which is 16810, 22416 and 17175 for FY </w:t>
      </w:r>
      <w:r w:rsidR="00AD18C5">
        <w:rPr>
          <w:rFonts w:ascii="Book Antiqua" w:eastAsia="Times New Roman" w:hAnsi="Book Antiqua"/>
          <w:color w:val="000000"/>
        </w:rPr>
        <w:t>20</w:t>
      </w:r>
      <w:r w:rsidR="00866979" w:rsidRPr="005C597E">
        <w:rPr>
          <w:rFonts w:ascii="Book Antiqua" w:eastAsia="Times New Roman" w:hAnsi="Book Antiqua"/>
          <w:color w:val="000000"/>
        </w:rPr>
        <w:t xml:space="preserve">16-17, FY </w:t>
      </w:r>
      <w:r w:rsidR="00AD18C5">
        <w:rPr>
          <w:rFonts w:ascii="Book Antiqua" w:eastAsia="Times New Roman" w:hAnsi="Book Antiqua"/>
          <w:color w:val="000000"/>
        </w:rPr>
        <w:t>20</w:t>
      </w:r>
      <w:r w:rsidR="00866979" w:rsidRPr="005C597E">
        <w:rPr>
          <w:rFonts w:ascii="Book Antiqua" w:eastAsia="Times New Roman" w:hAnsi="Book Antiqua"/>
          <w:color w:val="000000"/>
        </w:rPr>
        <w:t xml:space="preserve">17-18 and FY </w:t>
      </w:r>
      <w:r w:rsidR="00AD18C5">
        <w:rPr>
          <w:rFonts w:ascii="Book Antiqua" w:eastAsia="Times New Roman" w:hAnsi="Book Antiqua"/>
          <w:color w:val="000000"/>
        </w:rPr>
        <w:t>20</w:t>
      </w:r>
      <w:r w:rsidR="00866979" w:rsidRPr="005C597E">
        <w:rPr>
          <w:rFonts w:ascii="Book Antiqua" w:eastAsia="Times New Roman" w:hAnsi="Book Antiqua"/>
          <w:color w:val="000000"/>
        </w:rPr>
        <w:t>18-19</w:t>
      </w:r>
      <w:r w:rsidR="00AD18C5">
        <w:rPr>
          <w:rFonts w:ascii="Book Antiqua" w:eastAsia="Times New Roman" w:hAnsi="Book Antiqua"/>
          <w:color w:val="000000"/>
        </w:rPr>
        <w:t>,</w:t>
      </w:r>
      <w:r w:rsidR="00866979" w:rsidRPr="005C597E">
        <w:rPr>
          <w:rFonts w:ascii="Book Antiqua" w:eastAsia="Times New Roman" w:hAnsi="Book Antiqua"/>
          <w:color w:val="000000"/>
        </w:rPr>
        <w:t xml:space="preserve"> respectively.</w:t>
      </w:r>
    </w:p>
    <w:p w:rsidR="009B1864" w:rsidRPr="005C597E" w:rsidRDefault="009B1864" w:rsidP="005C597E">
      <w:pPr>
        <w:spacing w:after="240" w:line="276" w:lineRule="auto"/>
        <w:ind w:left="709"/>
        <w:jc w:val="both"/>
        <w:rPr>
          <w:rFonts w:ascii="Book Antiqua" w:eastAsia="Times New Roman" w:hAnsi="Book Antiqua"/>
          <w:color w:val="000000"/>
        </w:rPr>
      </w:pPr>
    </w:p>
    <w:p w:rsidR="00D20D68" w:rsidRPr="00214E95" w:rsidRDefault="00D20D68">
      <w:pPr>
        <w:numPr>
          <w:ilvl w:val="0"/>
          <w:numId w:val="3"/>
        </w:numPr>
        <w:spacing w:after="240" w:line="276" w:lineRule="auto"/>
        <w:ind w:left="630"/>
        <w:jc w:val="both"/>
        <w:rPr>
          <w:b/>
          <w:bCs/>
          <w:color w:val="000000"/>
        </w:rPr>
      </w:pPr>
      <w:r w:rsidRPr="00214E95">
        <w:rPr>
          <w:rFonts w:ascii="Book Antiqua" w:hAnsi="Book Antiqua"/>
          <w:b/>
          <w:bCs/>
          <w:color w:val="000000"/>
        </w:rPr>
        <w:t>UGVCL should furnish sale of energy as per monthly return under Form A specified in Rule 6 (1) (A) filed with the Chief Electrical Inspector and Collector of Electricity Duty.</w:t>
      </w:r>
    </w:p>
    <w:p w:rsidR="00E22E4A" w:rsidRDefault="00E22E4A" w:rsidP="009B1864">
      <w:pPr>
        <w:spacing w:after="240" w:line="276" w:lineRule="auto"/>
        <w:ind w:left="426"/>
        <w:jc w:val="both"/>
        <w:rPr>
          <w:rFonts w:ascii="Book Antiqua" w:hAnsi="Book Antiqua"/>
          <w:lang w:val="en-GB"/>
        </w:rPr>
      </w:pPr>
      <w:r w:rsidRPr="00826993">
        <w:rPr>
          <w:rFonts w:ascii="Book Antiqua" w:hAnsi="Book Antiqua"/>
          <w:b/>
          <w:bCs/>
          <w:lang w:val="en-GB"/>
        </w:rPr>
        <w:t>Compliance:</w:t>
      </w:r>
      <w:r w:rsidR="00866979" w:rsidRPr="00826993">
        <w:rPr>
          <w:rFonts w:ascii="Book Antiqua" w:hAnsi="Book Antiqua"/>
          <w:b/>
          <w:bCs/>
          <w:lang w:val="en-GB"/>
        </w:rPr>
        <w:t xml:space="preserve"> -</w:t>
      </w:r>
      <w:r w:rsidR="009B1864" w:rsidRPr="007D4215">
        <w:rPr>
          <w:rFonts w:ascii="Book Antiqua" w:hAnsi="Book Antiqua"/>
          <w:lang w:val="en-GB"/>
        </w:rPr>
        <w:t xml:space="preserve">Form A is </w:t>
      </w:r>
      <w:r w:rsidR="00866979" w:rsidRPr="007D4215">
        <w:rPr>
          <w:rFonts w:ascii="Book Antiqua" w:hAnsi="Book Antiqua"/>
          <w:lang w:val="en-GB"/>
        </w:rPr>
        <w:t xml:space="preserve">Provided in </w:t>
      </w:r>
      <w:r w:rsidR="00E52C36" w:rsidRPr="008669EE">
        <w:rPr>
          <w:rFonts w:ascii="Book Antiqua" w:hAnsi="Book Antiqua"/>
          <w:highlight w:val="yellow"/>
          <w:lang w:val="en-GB"/>
        </w:rPr>
        <w:t>Annexure</w:t>
      </w:r>
      <w:r w:rsidR="00866979" w:rsidRPr="008669EE">
        <w:rPr>
          <w:rFonts w:ascii="Book Antiqua" w:hAnsi="Book Antiqua"/>
          <w:highlight w:val="yellow"/>
          <w:lang w:val="en-GB"/>
        </w:rPr>
        <w:t>- A</w:t>
      </w:r>
    </w:p>
    <w:p w:rsidR="000349C9" w:rsidRPr="0098014D" w:rsidRDefault="00D20D68" w:rsidP="005C597E">
      <w:pPr>
        <w:numPr>
          <w:ilvl w:val="0"/>
          <w:numId w:val="3"/>
        </w:numPr>
        <w:spacing w:after="240" w:line="276" w:lineRule="auto"/>
        <w:ind w:left="630"/>
        <w:jc w:val="both"/>
        <w:rPr>
          <w:b/>
          <w:bCs/>
          <w:color w:val="000000"/>
        </w:rPr>
      </w:pPr>
      <w:r w:rsidRPr="0098014D">
        <w:rPr>
          <w:rFonts w:ascii="Book Antiqua" w:hAnsi="Book Antiqua"/>
          <w:b/>
          <w:bCs/>
          <w:color w:val="000000"/>
        </w:rPr>
        <w:lastRenderedPageBreak/>
        <w:t>UGVCL should submit category-wise number of consumers, connected load, contract demand and billed demand for FY 2018-19 for all categories</w:t>
      </w:r>
      <w:r w:rsidR="000349C9" w:rsidRPr="0098014D">
        <w:rPr>
          <w:rFonts w:ascii="Book Antiqua" w:hAnsi="Book Antiqua"/>
          <w:b/>
          <w:bCs/>
          <w:color w:val="000000"/>
        </w:rPr>
        <w:t>.</w:t>
      </w:r>
    </w:p>
    <w:p w:rsidR="008669EE" w:rsidRDefault="000349C9" w:rsidP="008669EE">
      <w:pPr>
        <w:pStyle w:val="ListParagraph"/>
        <w:spacing w:after="240"/>
        <w:ind w:left="426"/>
        <w:jc w:val="both"/>
        <w:rPr>
          <w:rFonts w:ascii="Book Antiqua" w:hAnsi="Book Antiqua"/>
          <w:sz w:val="24"/>
          <w:szCs w:val="24"/>
          <w:lang w:val="en-GB"/>
        </w:rPr>
      </w:pPr>
      <w:r w:rsidRPr="00826993">
        <w:rPr>
          <w:rFonts w:ascii="Book Antiqua" w:hAnsi="Book Antiqua"/>
          <w:b/>
          <w:bCs/>
          <w:lang w:val="en-GB"/>
        </w:rPr>
        <w:t>Compliance:</w:t>
      </w:r>
      <w:r w:rsidR="009B1864" w:rsidRPr="00826993">
        <w:rPr>
          <w:rFonts w:ascii="Book Antiqua" w:hAnsi="Book Antiqua"/>
          <w:b/>
          <w:bCs/>
          <w:lang w:val="en-GB"/>
        </w:rPr>
        <w:t xml:space="preserve"> -</w:t>
      </w:r>
      <w:r w:rsidR="008669EE">
        <w:rPr>
          <w:rFonts w:ascii="Book Antiqua" w:hAnsi="Book Antiqua"/>
          <w:sz w:val="24"/>
          <w:szCs w:val="24"/>
          <w:lang w:val="en-GB"/>
        </w:rPr>
        <w:t>Requested information has been s</w:t>
      </w:r>
      <w:r w:rsidR="008669EE" w:rsidRPr="003548FB">
        <w:rPr>
          <w:rFonts w:ascii="Book Antiqua" w:hAnsi="Book Antiqua"/>
          <w:sz w:val="24"/>
          <w:szCs w:val="24"/>
          <w:lang w:val="en-GB"/>
        </w:rPr>
        <w:t xml:space="preserve">ubmitted in </w:t>
      </w:r>
      <w:r w:rsidR="008669EE">
        <w:rPr>
          <w:rFonts w:ascii="Book Antiqua" w:hAnsi="Book Antiqua"/>
          <w:b/>
          <w:bCs/>
          <w:sz w:val="24"/>
          <w:szCs w:val="24"/>
          <w:lang w:val="en-GB"/>
        </w:rPr>
        <w:t>Revenue Model</w:t>
      </w:r>
      <w:r w:rsidR="008669EE" w:rsidRPr="003548FB">
        <w:rPr>
          <w:rFonts w:ascii="Book Antiqua" w:hAnsi="Book Antiqua"/>
          <w:sz w:val="24"/>
          <w:szCs w:val="24"/>
          <w:lang w:val="en-GB"/>
        </w:rPr>
        <w:t>.</w:t>
      </w:r>
      <w:r w:rsidR="008669EE">
        <w:rPr>
          <w:rFonts w:ascii="Book Antiqua" w:hAnsi="Book Antiqua"/>
          <w:sz w:val="24"/>
          <w:szCs w:val="24"/>
          <w:lang w:val="en-GB"/>
        </w:rPr>
        <w:t xml:space="preserve"> There is no change in data as submitted in Revenue Model.</w:t>
      </w:r>
    </w:p>
    <w:p w:rsidR="00836A3A" w:rsidRPr="007D4215" w:rsidRDefault="00836A3A" w:rsidP="007D4215">
      <w:pPr>
        <w:spacing w:after="240"/>
        <w:ind w:left="426"/>
        <w:jc w:val="both"/>
        <w:rPr>
          <w:rFonts w:ascii="Book Antiqua" w:hAnsi="Book Antiqua"/>
          <w:lang w:val="en-GB"/>
        </w:rPr>
      </w:pPr>
    </w:p>
    <w:p w:rsidR="00D20D68" w:rsidRPr="0098014D" w:rsidRDefault="00D20D68" w:rsidP="000349C9">
      <w:pPr>
        <w:numPr>
          <w:ilvl w:val="0"/>
          <w:numId w:val="3"/>
        </w:numPr>
        <w:spacing w:after="240" w:line="276" w:lineRule="auto"/>
        <w:ind w:left="630" w:hanging="357"/>
        <w:jc w:val="both"/>
        <w:rPr>
          <w:b/>
          <w:bCs/>
          <w:color w:val="000000"/>
        </w:rPr>
      </w:pPr>
      <w:r w:rsidRPr="0098014D">
        <w:rPr>
          <w:rFonts w:ascii="Book Antiqua" w:hAnsi="Book Antiqua"/>
          <w:b/>
          <w:bCs/>
          <w:color w:val="000000"/>
        </w:rPr>
        <w:t xml:space="preserve">UGVCL should submit the comparison of actual Average Billing Rate (ABR) vis-à-vis the approved ABR for each </w:t>
      </w:r>
      <w:r w:rsidR="00826993" w:rsidRPr="0098014D">
        <w:rPr>
          <w:rFonts w:ascii="Book Antiqua" w:hAnsi="Book Antiqua"/>
          <w:b/>
          <w:bCs/>
          <w:color w:val="000000"/>
        </w:rPr>
        <w:t>category and</w:t>
      </w:r>
      <w:r w:rsidRPr="0098014D">
        <w:rPr>
          <w:rFonts w:ascii="Book Antiqua" w:hAnsi="Book Antiqua"/>
          <w:b/>
          <w:bCs/>
          <w:color w:val="000000"/>
        </w:rPr>
        <w:t xml:space="preserve"> explain the difference in ABR for each category</w:t>
      </w:r>
      <w:r w:rsidR="00BC488A" w:rsidRPr="0098014D">
        <w:rPr>
          <w:rFonts w:ascii="Book Antiqua" w:hAnsi="Book Antiqua"/>
          <w:b/>
          <w:bCs/>
          <w:color w:val="000000"/>
        </w:rPr>
        <w:t>.</w:t>
      </w:r>
    </w:p>
    <w:p w:rsidR="00AD6028" w:rsidRPr="00826993" w:rsidRDefault="00AD6028" w:rsidP="007D4215">
      <w:pPr>
        <w:spacing w:after="240"/>
        <w:ind w:left="426"/>
        <w:jc w:val="both"/>
        <w:rPr>
          <w:rFonts w:ascii="Book Antiqua" w:hAnsi="Book Antiqua"/>
          <w:b/>
          <w:bCs/>
          <w:lang w:val="en-GB"/>
        </w:rPr>
      </w:pPr>
      <w:r w:rsidRPr="00826993">
        <w:rPr>
          <w:rFonts w:ascii="Book Antiqua" w:hAnsi="Book Antiqua"/>
          <w:b/>
          <w:bCs/>
          <w:lang w:val="en-GB"/>
        </w:rPr>
        <w:t>Compliance:</w:t>
      </w:r>
      <w:r w:rsidR="009B1864" w:rsidRPr="00826993">
        <w:rPr>
          <w:rFonts w:ascii="Book Antiqua" w:hAnsi="Book Antiqua"/>
          <w:b/>
          <w:bCs/>
          <w:lang w:val="en-GB"/>
        </w:rPr>
        <w:t xml:space="preserve"> -</w:t>
      </w:r>
    </w:p>
    <w:p w:rsidR="00AD6028" w:rsidRPr="007D4215" w:rsidRDefault="00BC488A" w:rsidP="005C597E">
      <w:pPr>
        <w:spacing w:after="240" w:line="276" w:lineRule="auto"/>
        <w:ind w:left="709"/>
        <w:jc w:val="both"/>
        <w:rPr>
          <w:rFonts w:ascii="Book Antiqua" w:hAnsi="Book Antiqua"/>
          <w:color w:val="000000"/>
        </w:rPr>
      </w:pPr>
      <w:r w:rsidRPr="007D4215">
        <w:rPr>
          <w:rFonts w:ascii="Book Antiqua" w:hAnsi="Book Antiqua"/>
          <w:color w:val="000000"/>
        </w:rPr>
        <w:t>Approved vs actual ABR are as follows for various tariff categories.</w:t>
      </w:r>
    </w:p>
    <w:tbl>
      <w:tblPr>
        <w:tblW w:w="5000" w:type="pct"/>
        <w:tblLook w:val="04A0"/>
      </w:tblPr>
      <w:tblGrid>
        <w:gridCol w:w="2753"/>
        <w:gridCol w:w="1322"/>
        <w:gridCol w:w="1320"/>
        <w:gridCol w:w="1421"/>
        <w:gridCol w:w="1340"/>
        <w:gridCol w:w="1342"/>
        <w:gridCol w:w="1184"/>
      </w:tblGrid>
      <w:tr w:rsidR="00A12927" w:rsidRPr="0098014D" w:rsidTr="001F5D0B">
        <w:trPr>
          <w:cantSplit/>
          <w:trHeight w:val="294"/>
          <w:tblHeader/>
        </w:trPr>
        <w:tc>
          <w:tcPr>
            <w:tcW w:w="1289" w:type="pct"/>
            <w:vMerge w:val="restart"/>
            <w:tcBorders>
              <w:top w:val="single" w:sz="4" w:space="0" w:color="auto"/>
              <w:left w:val="single" w:sz="4" w:space="0" w:color="auto"/>
              <w:bottom w:val="single" w:sz="4" w:space="0" w:color="auto"/>
              <w:right w:val="single" w:sz="4" w:space="0" w:color="auto"/>
            </w:tcBorders>
            <w:shd w:val="clear" w:color="000000" w:fill="FABF8F"/>
            <w:noWrap/>
            <w:vAlign w:val="center"/>
            <w:hideMark/>
          </w:tcPr>
          <w:p w:rsidR="00A12927" w:rsidRPr="0098014D" w:rsidRDefault="00A12927" w:rsidP="005269C9">
            <w:pPr>
              <w:jc w:val="center"/>
              <w:rPr>
                <w:rFonts w:ascii="Book Antiqua" w:eastAsia="Times New Roman" w:hAnsi="Book Antiqua"/>
                <w:b/>
                <w:bCs/>
              </w:rPr>
            </w:pPr>
            <w:r w:rsidRPr="0098014D">
              <w:rPr>
                <w:rFonts w:ascii="Book Antiqua" w:eastAsia="Times New Roman" w:hAnsi="Book Antiqua"/>
                <w:b/>
                <w:bCs/>
                <w:sz w:val="22"/>
                <w:szCs w:val="22"/>
              </w:rPr>
              <w:t>Particulars</w:t>
            </w:r>
          </w:p>
        </w:tc>
        <w:tc>
          <w:tcPr>
            <w:tcW w:w="1237" w:type="pct"/>
            <w:gridSpan w:val="2"/>
            <w:tcBorders>
              <w:top w:val="single" w:sz="4" w:space="0" w:color="auto"/>
              <w:left w:val="nil"/>
              <w:bottom w:val="single" w:sz="4" w:space="0" w:color="auto"/>
              <w:right w:val="single" w:sz="4" w:space="0" w:color="000000"/>
            </w:tcBorders>
            <w:shd w:val="clear" w:color="000000" w:fill="FABF8F"/>
            <w:vAlign w:val="center"/>
            <w:hideMark/>
          </w:tcPr>
          <w:p w:rsidR="00A12927" w:rsidRPr="0098014D" w:rsidRDefault="00A12927" w:rsidP="005269C9">
            <w:pPr>
              <w:jc w:val="center"/>
              <w:rPr>
                <w:rFonts w:ascii="Book Antiqua" w:eastAsia="Times New Roman" w:hAnsi="Book Antiqua"/>
                <w:b/>
                <w:bCs/>
              </w:rPr>
            </w:pPr>
            <w:r w:rsidRPr="0098014D">
              <w:rPr>
                <w:rFonts w:ascii="Book Antiqua" w:eastAsia="Times New Roman" w:hAnsi="Book Antiqua"/>
                <w:b/>
                <w:bCs/>
                <w:sz w:val="22"/>
                <w:szCs w:val="22"/>
              </w:rPr>
              <w:t>Sales (MU)</w:t>
            </w:r>
          </w:p>
        </w:tc>
        <w:tc>
          <w:tcPr>
            <w:tcW w:w="1292" w:type="pct"/>
            <w:gridSpan w:val="2"/>
            <w:tcBorders>
              <w:top w:val="single" w:sz="4" w:space="0" w:color="auto"/>
              <w:left w:val="nil"/>
              <w:bottom w:val="single" w:sz="4" w:space="0" w:color="auto"/>
              <w:right w:val="single" w:sz="4" w:space="0" w:color="auto"/>
            </w:tcBorders>
            <w:shd w:val="clear" w:color="000000" w:fill="FABF8F"/>
            <w:vAlign w:val="center"/>
            <w:hideMark/>
          </w:tcPr>
          <w:p w:rsidR="00A12927" w:rsidRPr="0098014D" w:rsidRDefault="00A12927" w:rsidP="005269C9">
            <w:pPr>
              <w:jc w:val="center"/>
              <w:rPr>
                <w:rFonts w:ascii="Book Antiqua" w:eastAsia="Times New Roman" w:hAnsi="Book Antiqua"/>
                <w:b/>
                <w:bCs/>
              </w:rPr>
            </w:pPr>
            <w:r w:rsidRPr="0098014D">
              <w:rPr>
                <w:rFonts w:ascii="Book Antiqua" w:eastAsia="Times New Roman" w:hAnsi="Book Antiqua"/>
                <w:b/>
                <w:bCs/>
                <w:sz w:val="22"/>
                <w:szCs w:val="22"/>
              </w:rPr>
              <w:t>Revenue (Rs. Crore)</w:t>
            </w:r>
          </w:p>
        </w:tc>
        <w:tc>
          <w:tcPr>
            <w:tcW w:w="1182" w:type="pct"/>
            <w:gridSpan w:val="2"/>
            <w:tcBorders>
              <w:top w:val="single" w:sz="4" w:space="0" w:color="auto"/>
              <w:left w:val="nil"/>
              <w:bottom w:val="single" w:sz="4" w:space="0" w:color="auto"/>
              <w:right w:val="nil"/>
            </w:tcBorders>
            <w:shd w:val="clear" w:color="auto" w:fill="FABF8F" w:themeFill="accent6" w:themeFillTint="99"/>
          </w:tcPr>
          <w:p w:rsidR="00A12927" w:rsidRPr="0098014D" w:rsidRDefault="00A12927" w:rsidP="005269C9">
            <w:pPr>
              <w:jc w:val="center"/>
              <w:rPr>
                <w:rFonts w:ascii="Book Antiqua" w:eastAsia="Times New Roman" w:hAnsi="Book Antiqua"/>
                <w:b/>
                <w:bCs/>
              </w:rPr>
            </w:pPr>
            <w:r w:rsidRPr="0098014D">
              <w:rPr>
                <w:rFonts w:ascii="Book Antiqua" w:eastAsia="Times New Roman" w:hAnsi="Book Antiqua"/>
                <w:b/>
                <w:bCs/>
                <w:sz w:val="22"/>
                <w:szCs w:val="22"/>
              </w:rPr>
              <w:t>ABR (Rs. /unit) </w:t>
            </w:r>
          </w:p>
        </w:tc>
      </w:tr>
      <w:tr w:rsidR="0098014D" w:rsidRPr="0098014D" w:rsidTr="001F5D0B">
        <w:trPr>
          <w:cantSplit/>
          <w:trHeight w:val="883"/>
          <w:tblHeader/>
        </w:trPr>
        <w:tc>
          <w:tcPr>
            <w:tcW w:w="1289" w:type="pct"/>
            <w:vMerge/>
            <w:tcBorders>
              <w:top w:val="single" w:sz="4" w:space="0" w:color="auto"/>
              <w:left w:val="single" w:sz="4" w:space="0" w:color="auto"/>
              <w:bottom w:val="single" w:sz="4" w:space="0" w:color="auto"/>
              <w:right w:val="single" w:sz="4" w:space="0" w:color="auto"/>
            </w:tcBorders>
            <w:vAlign w:val="center"/>
            <w:hideMark/>
          </w:tcPr>
          <w:p w:rsidR="00A12927" w:rsidRPr="0098014D" w:rsidRDefault="00A12927" w:rsidP="00A12927">
            <w:pPr>
              <w:rPr>
                <w:rFonts w:ascii="Book Antiqua" w:eastAsia="Times New Roman" w:hAnsi="Book Antiqua"/>
                <w:b/>
                <w:bCs/>
              </w:rPr>
            </w:pPr>
          </w:p>
        </w:tc>
        <w:tc>
          <w:tcPr>
            <w:tcW w:w="619" w:type="pct"/>
            <w:tcBorders>
              <w:top w:val="nil"/>
              <w:left w:val="nil"/>
              <w:bottom w:val="single" w:sz="4" w:space="0" w:color="auto"/>
              <w:right w:val="single" w:sz="4" w:space="0" w:color="auto"/>
            </w:tcBorders>
            <w:shd w:val="clear" w:color="000000" w:fill="FABF8F"/>
            <w:vAlign w:val="center"/>
            <w:hideMark/>
          </w:tcPr>
          <w:p w:rsidR="00A12927" w:rsidRPr="0098014D" w:rsidRDefault="00A12927" w:rsidP="00A12927">
            <w:pPr>
              <w:jc w:val="center"/>
              <w:rPr>
                <w:rFonts w:ascii="Book Antiqua" w:eastAsia="Times New Roman" w:hAnsi="Book Antiqua"/>
                <w:b/>
                <w:bCs/>
              </w:rPr>
            </w:pPr>
            <w:r w:rsidRPr="0098014D">
              <w:rPr>
                <w:rFonts w:ascii="Book Antiqua" w:eastAsia="Times New Roman" w:hAnsi="Book Antiqua"/>
                <w:b/>
                <w:bCs/>
                <w:sz w:val="22"/>
                <w:szCs w:val="22"/>
              </w:rPr>
              <w:t>FY 2018-19 Approved</w:t>
            </w:r>
          </w:p>
        </w:tc>
        <w:tc>
          <w:tcPr>
            <w:tcW w:w="618" w:type="pct"/>
            <w:tcBorders>
              <w:top w:val="nil"/>
              <w:left w:val="nil"/>
              <w:bottom w:val="single" w:sz="4" w:space="0" w:color="auto"/>
              <w:right w:val="single" w:sz="4" w:space="0" w:color="auto"/>
            </w:tcBorders>
            <w:shd w:val="clear" w:color="000000" w:fill="FABF8F"/>
            <w:vAlign w:val="center"/>
            <w:hideMark/>
          </w:tcPr>
          <w:p w:rsidR="00A12927" w:rsidRPr="0098014D" w:rsidRDefault="00A12927" w:rsidP="00A12927">
            <w:pPr>
              <w:jc w:val="center"/>
              <w:rPr>
                <w:rFonts w:ascii="Book Antiqua" w:eastAsia="Times New Roman" w:hAnsi="Book Antiqua"/>
                <w:b/>
                <w:bCs/>
              </w:rPr>
            </w:pPr>
            <w:r w:rsidRPr="0098014D">
              <w:rPr>
                <w:rFonts w:ascii="Book Antiqua" w:eastAsia="Times New Roman" w:hAnsi="Book Antiqua"/>
                <w:b/>
                <w:bCs/>
                <w:sz w:val="22"/>
                <w:szCs w:val="22"/>
              </w:rPr>
              <w:t>FY 2018-19 Actual</w:t>
            </w:r>
          </w:p>
        </w:tc>
        <w:tc>
          <w:tcPr>
            <w:tcW w:w="665" w:type="pct"/>
            <w:tcBorders>
              <w:top w:val="nil"/>
              <w:left w:val="nil"/>
              <w:bottom w:val="single" w:sz="4" w:space="0" w:color="auto"/>
              <w:right w:val="single" w:sz="4" w:space="0" w:color="auto"/>
            </w:tcBorders>
            <w:shd w:val="clear" w:color="000000" w:fill="FABF8F"/>
            <w:vAlign w:val="center"/>
            <w:hideMark/>
          </w:tcPr>
          <w:p w:rsidR="00A12927" w:rsidRPr="0098014D" w:rsidRDefault="00A12927" w:rsidP="00A12927">
            <w:pPr>
              <w:jc w:val="center"/>
              <w:rPr>
                <w:rFonts w:ascii="Book Antiqua" w:eastAsia="Times New Roman" w:hAnsi="Book Antiqua"/>
                <w:b/>
                <w:bCs/>
              </w:rPr>
            </w:pPr>
            <w:r w:rsidRPr="0098014D">
              <w:rPr>
                <w:rFonts w:ascii="Book Antiqua" w:eastAsia="Times New Roman" w:hAnsi="Book Antiqua"/>
                <w:b/>
                <w:bCs/>
                <w:sz w:val="22"/>
                <w:szCs w:val="22"/>
              </w:rPr>
              <w:t>FY 2018-19 Approved*</w:t>
            </w:r>
          </w:p>
        </w:tc>
        <w:tc>
          <w:tcPr>
            <w:tcW w:w="627" w:type="pct"/>
            <w:tcBorders>
              <w:top w:val="nil"/>
              <w:left w:val="nil"/>
              <w:bottom w:val="single" w:sz="4" w:space="0" w:color="auto"/>
              <w:right w:val="single" w:sz="4" w:space="0" w:color="auto"/>
            </w:tcBorders>
            <w:shd w:val="clear" w:color="000000" w:fill="FABF8F"/>
            <w:vAlign w:val="center"/>
            <w:hideMark/>
          </w:tcPr>
          <w:p w:rsidR="00A12927" w:rsidRPr="0098014D" w:rsidRDefault="00A12927" w:rsidP="0098014D">
            <w:pPr>
              <w:jc w:val="center"/>
              <w:rPr>
                <w:rFonts w:ascii="Book Antiqua" w:eastAsia="Times New Roman" w:hAnsi="Book Antiqua"/>
                <w:b/>
                <w:bCs/>
              </w:rPr>
            </w:pPr>
            <w:r w:rsidRPr="0098014D">
              <w:rPr>
                <w:rFonts w:ascii="Book Antiqua" w:eastAsia="Times New Roman" w:hAnsi="Book Antiqua"/>
                <w:b/>
                <w:bCs/>
                <w:sz w:val="22"/>
                <w:szCs w:val="22"/>
              </w:rPr>
              <w:t>FY 2018-19 Actual</w:t>
            </w:r>
          </w:p>
        </w:tc>
        <w:tc>
          <w:tcPr>
            <w:tcW w:w="628" w:type="pct"/>
            <w:tcBorders>
              <w:top w:val="single" w:sz="4" w:space="0" w:color="auto"/>
              <w:left w:val="single" w:sz="4" w:space="0" w:color="auto"/>
              <w:bottom w:val="single" w:sz="4" w:space="0" w:color="auto"/>
              <w:right w:val="single" w:sz="4" w:space="0" w:color="auto"/>
            </w:tcBorders>
            <w:shd w:val="clear" w:color="000000" w:fill="FABF8F"/>
            <w:vAlign w:val="center"/>
          </w:tcPr>
          <w:p w:rsidR="00A12927" w:rsidRPr="0098014D" w:rsidRDefault="00A12927" w:rsidP="00A12927">
            <w:pPr>
              <w:jc w:val="center"/>
              <w:rPr>
                <w:rFonts w:ascii="Book Antiqua" w:eastAsia="Times New Roman" w:hAnsi="Book Antiqua"/>
                <w:b/>
                <w:bCs/>
              </w:rPr>
            </w:pPr>
            <w:r w:rsidRPr="0098014D">
              <w:rPr>
                <w:rFonts w:ascii="Book Antiqua" w:eastAsia="Times New Roman" w:hAnsi="Book Antiqua"/>
                <w:b/>
                <w:bCs/>
                <w:sz w:val="22"/>
                <w:szCs w:val="22"/>
              </w:rPr>
              <w:t>Approved ABR</w:t>
            </w:r>
          </w:p>
        </w:tc>
        <w:tc>
          <w:tcPr>
            <w:tcW w:w="554" w:type="pct"/>
            <w:tcBorders>
              <w:top w:val="single" w:sz="4" w:space="0" w:color="auto"/>
              <w:left w:val="single" w:sz="4" w:space="0" w:color="auto"/>
              <w:bottom w:val="single" w:sz="4" w:space="0" w:color="auto"/>
              <w:right w:val="single" w:sz="4" w:space="0" w:color="auto"/>
            </w:tcBorders>
            <w:shd w:val="clear" w:color="000000" w:fill="FABF8F"/>
            <w:vAlign w:val="center"/>
          </w:tcPr>
          <w:p w:rsidR="00A12927" w:rsidRPr="0098014D" w:rsidRDefault="00A12927" w:rsidP="00A12927">
            <w:pPr>
              <w:jc w:val="center"/>
              <w:rPr>
                <w:rFonts w:ascii="Book Antiqua" w:eastAsia="Times New Roman" w:hAnsi="Book Antiqua"/>
                <w:b/>
                <w:bCs/>
              </w:rPr>
            </w:pPr>
            <w:r w:rsidRPr="0098014D">
              <w:rPr>
                <w:rFonts w:ascii="Book Antiqua" w:eastAsia="Times New Roman" w:hAnsi="Book Antiqua"/>
                <w:b/>
                <w:bCs/>
                <w:sz w:val="22"/>
                <w:szCs w:val="22"/>
              </w:rPr>
              <w:t>Actual ABR</w:t>
            </w:r>
          </w:p>
        </w:tc>
      </w:tr>
      <w:tr w:rsidR="0098014D" w:rsidRPr="0098014D" w:rsidTr="001F5D0B">
        <w:trPr>
          <w:trHeight w:val="294"/>
        </w:trPr>
        <w:tc>
          <w:tcPr>
            <w:tcW w:w="12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927" w:rsidRPr="0098014D" w:rsidRDefault="00A12927" w:rsidP="00A12927">
            <w:pPr>
              <w:rPr>
                <w:rFonts w:ascii="Book Antiqua" w:eastAsia="Times New Roman" w:hAnsi="Book Antiqua"/>
              </w:rPr>
            </w:pPr>
            <w:r w:rsidRPr="0098014D">
              <w:rPr>
                <w:rFonts w:ascii="Book Antiqua" w:eastAsia="Times New Roman" w:hAnsi="Book Antiqua"/>
                <w:sz w:val="22"/>
                <w:szCs w:val="22"/>
              </w:rPr>
              <w:t>RGP</w:t>
            </w:r>
          </w:p>
        </w:tc>
        <w:tc>
          <w:tcPr>
            <w:tcW w:w="619" w:type="pct"/>
            <w:tcBorders>
              <w:top w:val="single" w:sz="4" w:space="0" w:color="auto"/>
              <w:left w:val="nil"/>
              <w:bottom w:val="single" w:sz="4" w:space="0" w:color="auto"/>
              <w:right w:val="single" w:sz="4" w:space="0" w:color="auto"/>
            </w:tcBorders>
            <w:shd w:val="clear" w:color="auto" w:fill="auto"/>
            <w:noWrap/>
            <w:hideMark/>
          </w:tcPr>
          <w:p w:rsidR="00A12927" w:rsidRPr="0098014D" w:rsidRDefault="00A12927" w:rsidP="00A12927">
            <w:pPr>
              <w:jc w:val="right"/>
              <w:rPr>
                <w:rFonts w:ascii="Book Antiqua" w:eastAsia="Times New Roman" w:hAnsi="Book Antiqua" w:cs="Arial"/>
              </w:rPr>
            </w:pPr>
            <w:r w:rsidRPr="0098014D">
              <w:rPr>
                <w:rFonts w:ascii="Book Antiqua" w:hAnsi="Book Antiqua"/>
                <w:sz w:val="22"/>
                <w:szCs w:val="22"/>
              </w:rPr>
              <w:t xml:space="preserve"> 2,379 </w:t>
            </w:r>
          </w:p>
        </w:tc>
        <w:tc>
          <w:tcPr>
            <w:tcW w:w="618" w:type="pct"/>
            <w:tcBorders>
              <w:top w:val="single" w:sz="4" w:space="0" w:color="auto"/>
              <w:left w:val="nil"/>
              <w:bottom w:val="single" w:sz="4" w:space="0" w:color="auto"/>
              <w:right w:val="single" w:sz="4" w:space="0" w:color="auto"/>
            </w:tcBorders>
            <w:shd w:val="clear" w:color="auto" w:fill="auto"/>
            <w:noWrap/>
            <w:hideMark/>
          </w:tcPr>
          <w:p w:rsidR="00A12927" w:rsidRPr="0098014D" w:rsidRDefault="00A12927" w:rsidP="00A12927">
            <w:pPr>
              <w:jc w:val="right"/>
              <w:rPr>
                <w:rFonts w:ascii="Book Antiqua" w:eastAsia="Times New Roman" w:hAnsi="Book Antiqua"/>
              </w:rPr>
            </w:pPr>
            <w:r w:rsidRPr="0098014D">
              <w:rPr>
                <w:rFonts w:ascii="Book Antiqua" w:hAnsi="Book Antiqua"/>
                <w:sz w:val="22"/>
                <w:szCs w:val="22"/>
              </w:rPr>
              <w:t xml:space="preserve"> 2,256 </w:t>
            </w:r>
          </w:p>
        </w:tc>
        <w:tc>
          <w:tcPr>
            <w:tcW w:w="665" w:type="pct"/>
            <w:tcBorders>
              <w:top w:val="single" w:sz="4" w:space="0" w:color="auto"/>
              <w:left w:val="nil"/>
              <w:bottom w:val="single" w:sz="4" w:space="0" w:color="auto"/>
              <w:right w:val="single" w:sz="4" w:space="0" w:color="auto"/>
            </w:tcBorders>
            <w:shd w:val="clear" w:color="auto" w:fill="auto"/>
            <w:noWrap/>
            <w:vAlign w:val="center"/>
            <w:hideMark/>
          </w:tcPr>
          <w:p w:rsidR="00A12927" w:rsidRPr="0098014D" w:rsidRDefault="00A12927">
            <w:pPr>
              <w:jc w:val="right"/>
              <w:rPr>
                <w:rFonts w:ascii="Book Antiqua" w:hAnsi="Book Antiqua"/>
              </w:rPr>
            </w:pPr>
            <w:r w:rsidRPr="0098014D">
              <w:rPr>
                <w:rFonts w:ascii="Book Antiqua" w:hAnsi="Book Antiqua"/>
                <w:sz w:val="22"/>
                <w:szCs w:val="22"/>
              </w:rPr>
              <w:t xml:space="preserve">1,206.90 </w:t>
            </w:r>
          </w:p>
        </w:tc>
        <w:tc>
          <w:tcPr>
            <w:tcW w:w="627" w:type="pct"/>
            <w:tcBorders>
              <w:top w:val="single" w:sz="4" w:space="0" w:color="auto"/>
              <w:left w:val="nil"/>
              <w:bottom w:val="single" w:sz="4" w:space="0" w:color="auto"/>
              <w:right w:val="single" w:sz="4" w:space="0" w:color="auto"/>
            </w:tcBorders>
            <w:shd w:val="clear" w:color="auto" w:fill="auto"/>
            <w:noWrap/>
            <w:hideMark/>
          </w:tcPr>
          <w:p w:rsidR="00A12927" w:rsidRPr="0098014D" w:rsidRDefault="00A12927">
            <w:pPr>
              <w:jc w:val="right"/>
              <w:rPr>
                <w:rFonts w:ascii="Book Antiqua" w:eastAsia="Times New Roman" w:hAnsi="Book Antiqua"/>
              </w:rPr>
            </w:pPr>
            <w:r w:rsidRPr="0098014D">
              <w:rPr>
                <w:rFonts w:ascii="Book Antiqua" w:hAnsi="Book Antiqua"/>
                <w:sz w:val="22"/>
                <w:szCs w:val="22"/>
              </w:rPr>
              <w:t xml:space="preserve">1,180.48 </w:t>
            </w:r>
          </w:p>
        </w:tc>
        <w:tc>
          <w:tcPr>
            <w:tcW w:w="628" w:type="pct"/>
            <w:tcBorders>
              <w:top w:val="single" w:sz="4" w:space="0" w:color="auto"/>
              <w:left w:val="nil"/>
              <w:bottom w:val="single" w:sz="4" w:space="0" w:color="auto"/>
              <w:right w:val="single" w:sz="4" w:space="0" w:color="auto"/>
            </w:tcBorders>
          </w:tcPr>
          <w:p w:rsidR="00A12927" w:rsidRPr="0098014D" w:rsidRDefault="00A12927" w:rsidP="00A12927">
            <w:pPr>
              <w:jc w:val="center"/>
              <w:rPr>
                <w:rFonts w:ascii="Book Antiqua" w:hAnsi="Book Antiqua"/>
              </w:rPr>
            </w:pPr>
            <w:r w:rsidRPr="0098014D">
              <w:rPr>
                <w:rFonts w:ascii="Book Antiqua" w:hAnsi="Book Antiqua"/>
                <w:sz w:val="22"/>
                <w:szCs w:val="22"/>
              </w:rPr>
              <w:t xml:space="preserve"> 5.07 </w:t>
            </w:r>
          </w:p>
        </w:tc>
        <w:tc>
          <w:tcPr>
            <w:tcW w:w="554" w:type="pct"/>
            <w:tcBorders>
              <w:top w:val="single" w:sz="4" w:space="0" w:color="auto"/>
              <w:left w:val="single" w:sz="4" w:space="0" w:color="auto"/>
              <w:bottom w:val="single" w:sz="4" w:space="0" w:color="auto"/>
              <w:right w:val="single" w:sz="4" w:space="0" w:color="auto"/>
            </w:tcBorders>
            <w:shd w:val="clear" w:color="000000" w:fill="FFFFFF"/>
          </w:tcPr>
          <w:p w:rsidR="00A12927" w:rsidRPr="0098014D" w:rsidRDefault="00A12927" w:rsidP="00A12927">
            <w:pPr>
              <w:jc w:val="center"/>
              <w:rPr>
                <w:rFonts w:ascii="Book Antiqua" w:hAnsi="Book Antiqua"/>
              </w:rPr>
            </w:pPr>
            <w:r w:rsidRPr="0098014D">
              <w:rPr>
                <w:rFonts w:ascii="Book Antiqua" w:hAnsi="Book Antiqua"/>
                <w:sz w:val="22"/>
                <w:szCs w:val="22"/>
              </w:rPr>
              <w:t xml:space="preserve"> 5.23 </w:t>
            </w:r>
          </w:p>
        </w:tc>
      </w:tr>
      <w:tr w:rsidR="0098014D" w:rsidRPr="0098014D" w:rsidTr="001F5D0B">
        <w:trPr>
          <w:trHeight w:val="294"/>
        </w:trPr>
        <w:tc>
          <w:tcPr>
            <w:tcW w:w="1289" w:type="pct"/>
            <w:tcBorders>
              <w:top w:val="nil"/>
              <w:left w:val="single" w:sz="4" w:space="0" w:color="auto"/>
              <w:bottom w:val="single" w:sz="4" w:space="0" w:color="auto"/>
              <w:right w:val="single" w:sz="4" w:space="0" w:color="auto"/>
            </w:tcBorders>
            <w:shd w:val="clear" w:color="auto" w:fill="auto"/>
            <w:noWrap/>
            <w:vAlign w:val="center"/>
            <w:hideMark/>
          </w:tcPr>
          <w:p w:rsidR="00A12927" w:rsidRPr="0098014D" w:rsidRDefault="00A12927" w:rsidP="00A12927">
            <w:pPr>
              <w:rPr>
                <w:rFonts w:ascii="Book Antiqua" w:eastAsia="Times New Roman" w:hAnsi="Book Antiqua"/>
              </w:rPr>
            </w:pPr>
            <w:r w:rsidRPr="0098014D">
              <w:rPr>
                <w:rFonts w:ascii="Book Antiqua" w:eastAsia="Times New Roman" w:hAnsi="Book Antiqua"/>
                <w:sz w:val="22"/>
                <w:szCs w:val="22"/>
              </w:rPr>
              <w:t>GLP</w:t>
            </w:r>
          </w:p>
        </w:tc>
        <w:tc>
          <w:tcPr>
            <w:tcW w:w="619" w:type="pct"/>
            <w:tcBorders>
              <w:top w:val="nil"/>
              <w:left w:val="nil"/>
              <w:bottom w:val="single" w:sz="4" w:space="0" w:color="auto"/>
              <w:right w:val="single" w:sz="4" w:space="0" w:color="auto"/>
            </w:tcBorders>
            <w:shd w:val="clear" w:color="auto" w:fill="auto"/>
            <w:noWrap/>
            <w:hideMark/>
          </w:tcPr>
          <w:p w:rsidR="00A12927" w:rsidRPr="0098014D" w:rsidRDefault="00A12927" w:rsidP="00A12927">
            <w:pPr>
              <w:jc w:val="right"/>
              <w:rPr>
                <w:rFonts w:ascii="Book Antiqua" w:eastAsia="Times New Roman" w:hAnsi="Book Antiqua" w:cs="Arial"/>
              </w:rPr>
            </w:pPr>
            <w:r w:rsidRPr="0098014D">
              <w:rPr>
                <w:rFonts w:ascii="Book Antiqua" w:hAnsi="Book Antiqua"/>
                <w:sz w:val="22"/>
                <w:szCs w:val="22"/>
              </w:rPr>
              <w:t xml:space="preserve"> 52 </w:t>
            </w:r>
          </w:p>
        </w:tc>
        <w:tc>
          <w:tcPr>
            <w:tcW w:w="618" w:type="pct"/>
            <w:tcBorders>
              <w:top w:val="nil"/>
              <w:left w:val="nil"/>
              <w:bottom w:val="single" w:sz="4" w:space="0" w:color="auto"/>
              <w:right w:val="single" w:sz="4" w:space="0" w:color="auto"/>
            </w:tcBorders>
            <w:shd w:val="clear" w:color="auto" w:fill="auto"/>
            <w:noWrap/>
            <w:hideMark/>
          </w:tcPr>
          <w:p w:rsidR="00A12927" w:rsidRPr="0098014D" w:rsidRDefault="00A12927" w:rsidP="00A12927">
            <w:pPr>
              <w:jc w:val="right"/>
              <w:rPr>
                <w:rFonts w:ascii="Book Antiqua" w:eastAsia="Times New Roman" w:hAnsi="Book Antiqua"/>
              </w:rPr>
            </w:pPr>
            <w:r w:rsidRPr="0098014D">
              <w:rPr>
                <w:rFonts w:ascii="Book Antiqua" w:hAnsi="Book Antiqua"/>
                <w:sz w:val="22"/>
                <w:szCs w:val="22"/>
              </w:rPr>
              <w:t xml:space="preserve"> 50 </w:t>
            </w:r>
          </w:p>
        </w:tc>
        <w:tc>
          <w:tcPr>
            <w:tcW w:w="665" w:type="pct"/>
            <w:tcBorders>
              <w:top w:val="nil"/>
              <w:left w:val="nil"/>
              <w:bottom w:val="single" w:sz="4" w:space="0" w:color="auto"/>
              <w:right w:val="single" w:sz="4" w:space="0" w:color="auto"/>
            </w:tcBorders>
            <w:shd w:val="clear" w:color="auto" w:fill="auto"/>
            <w:noWrap/>
            <w:vAlign w:val="center"/>
            <w:hideMark/>
          </w:tcPr>
          <w:p w:rsidR="00A12927" w:rsidRPr="0098014D" w:rsidRDefault="00A12927">
            <w:pPr>
              <w:jc w:val="right"/>
              <w:rPr>
                <w:rFonts w:ascii="Book Antiqua" w:hAnsi="Book Antiqua"/>
              </w:rPr>
            </w:pPr>
            <w:r w:rsidRPr="0098014D">
              <w:rPr>
                <w:rFonts w:ascii="Book Antiqua" w:hAnsi="Book Antiqua"/>
                <w:sz w:val="22"/>
                <w:szCs w:val="22"/>
              </w:rPr>
              <w:t xml:space="preserve">28.55 </w:t>
            </w:r>
          </w:p>
        </w:tc>
        <w:tc>
          <w:tcPr>
            <w:tcW w:w="627" w:type="pct"/>
            <w:tcBorders>
              <w:top w:val="nil"/>
              <w:left w:val="nil"/>
              <w:bottom w:val="single" w:sz="4" w:space="0" w:color="auto"/>
              <w:right w:val="single" w:sz="4" w:space="0" w:color="auto"/>
            </w:tcBorders>
            <w:shd w:val="clear" w:color="auto" w:fill="auto"/>
            <w:noWrap/>
            <w:hideMark/>
          </w:tcPr>
          <w:p w:rsidR="00A12927" w:rsidRPr="0098014D" w:rsidRDefault="00A12927">
            <w:pPr>
              <w:jc w:val="right"/>
              <w:rPr>
                <w:rFonts w:ascii="Book Antiqua" w:hAnsi="Book Antiqua"/>
              </w:rPr>
            </w:pPr>
            <w:r w:rsidRPr="0098014D">
              <w:rPr>
                <w:rFonts w:ascii="Book Antiqua" w:hAnsi="Book Antiqua"/>
                <w:sz w:val="22"/>
                <w:szCs w:val="22"/>
              </w:rPr>
              <w:t xml:space="preserve">29.90 </w:t>
            </w:r>
          </w:p>
        </w:tc>
        <w:tc>
          <w:tcPr>
            <w:tcW w:w="628" w:type="pct"/>
            <w:tcBorders>
              <w:top w:val="single" w:sz="4" w:space="0" w:color="auto"/>
              <w:left w:val="nil"/>
              <w:bottom w:val="single" w:sz="4" w:space="0" w:color="auto"/>
              <w:right w:val="single" w:sz="4" w:space="0" w:color="auto"/>
            </w:tcBorders>
          </w:tcPr>
          <w:p w:rsidR="00A12927" w:rsidRPr="0098014D" w:rsidRDefault="00A12927" w:rsidP="00A12927">
            <w:pPr>
              <w:jc w:val="center"/>
              <w:rPr>
                <w:rFonts w:ascii="Book Antiqua" w:hAnsi="Book Antiqua"/>
              </w:rPr>
            </w:pPr>
            <w:r w:rsidRPr="0098014D">
              <w:rPr>
                <w:rFonts w:ascii="Book Antiqua" w:hAnsi="Book Antiqua"/>
                <w:sz w:val="22"/>
                <w:szCs w:val="22"/>
              </w:rPr>
              <w:t xml:space="preserve"> 5.49 </w:t>
            </w:r>
          </w:p>
        </w:tc>
        <w:tc>
          <w:tcPr>
            <w:tcW w:w="554" w:type="pct"/>
            <w:tcBorders>
              <w:top w:val="single" w:sz="4" w:space="0" w:color="auto"/>
              <w:left w:val="single" w:sz="4" w:space="0" w:color="auto"/>
              <w:bottom w:val="single" w:sz="4" w:space="0" w:color="auto"/>
              <w:right w:val="single" w:sz="4" w:space="0" w:color="auto"/>
            </w:tcBorders>
            <w:shd w:val="clear" w:color="000000" w:fill="FFFFFF"/>
          </w:tcPr>
          <w:p w:rsidR="00A12927" w:rsidRPr="0098014D" w:rsidRDefault="00A12927" w:rsidP="00A12927">
            <w:pPr>
              <w:jc w:val="center"/>
              <w:rPr>
                <w:rFonts w:ascii="Book Antiqua" w:hAnsi="Book Antiqua"/>
              </w:rPr>
            </w:pPr>
            <w:r w:rsidRPr="0098014D">
              <w:rPr>
                <w:rFonts w:ascii="Book Antiqua" w:hAnsi="Book Antiqua"/>
                <w:sz w:val="22"/>
                <w:szCs w:val="22"/>
              </w:rPr>
              <w:t xml:space="preserve"> 6.02 </w:t>
            </w:r>
          </w:p>
        </w:tc>
      </w:tr>
      <w:tr w:rsidR="0098014D" w:rsidRPr="0098014D" w:rsidTr="001F5D0B">
        <w:trPr>
          <w:trHeight w:val="294"/>
        </w:trPr>
        <w:tc>
          <w:tcPr>
            <w:tcW w:w="1289" w:type="pct"/>
            <w:tcBorders>
              <w:top w:val="nil"/>
              <w:left w:val="single" w:sz="4" w:space="0" w:color="auto"/>
              <w:bottom w:val="single" w:sz="4" w:space="0" w:color="auto"/>
              <w:right w:val="single" w:sz="4" w:space="0" w:color="auto"/>
            </w:tcBorders>
            <w:shd w:val="clear" w:color="auto" w:fill="auto"/>
            <w:noWrap/>
            <w:vAlign w:val="center"/>
            <w:hideMark/>
          </w:tcPr>
          <w:p w:rsidR="00A12927" w:rsidRPr="0098014D" w:rsidRDefault="00A12927" w:rsidP="00A12927">
            <w:pPr>
              <w:rPr>
                <w:rFonts w:ascii="Book Antiqua" w:eastAsia="Times New Roman" w:hAnsi="Book Antiqua"/>
              </w:rPr>
            </w:pPr>
            <w:r w:rsidRPr="0098014D">
              <w:rPr>
                <w:rFonts w:ascii="Book Antiqua" w:eastAsia="Times New Roman" w:hAnsi="Book Antiqua"/>
                <w:sz w:val="22"/>
                <w:szCs w:val="22"/>
              </w:rPr>
              <w:t>Non-RGP &amp; LTMD</w:t>
            </w:r>
          </w:p>
        </w:tc>
        <w:tc>
          <w:tcPr>
            <w:tcW w:w="619" w:type="pct"/>
            <w:tcBorders>
              <w:top w:val="nil"/>
              <w:left w:val="nil"/>
              <w:bottom w:val="single" w:sz="4" w:space="0" w:color="auto"/>
              <w:right w:val="single" w:sz="4" w:space="0" w:color="auto"/>
            </w:tcBorders>
            <w:shd w:val="clear" w:color="auto" w:fill="auto"/>
            <w:noWrap/>
            <w:hideMark/>
          </w:tcPr>
          <w:p w:rsidR="00A12927" w:rsidRPr="0098014D" w:rsidRDefault="00A12927" w:rsidP="00A12927">
            <w:pPr>
              <w:jc w:val="right"/>
              <w:rPr>
                <w:rFonts w:ascii="Book Antiqua" w:eastAsia="Times New Roman" w:hAnsi="Book Antiqua" w:cs="Arial"/>
              </w:rPr>
            </w:pPr>
            <w:r w:rsidRPr="0098014D">
              <w:rPr>
                <w:rFonts w:ascii="Book Antiqua" w:hAnsi="Book Antiqua"/>
                <w:sz w:val="22"/>
                <w:szCs w:val="22"/>
              </w:rPr>
              <w:t xml:space="preserve"> 1,829 </w:t>
            </w:r>
          </w:p>
        </w:tc>
        <w:tc>
          <w:tcPr>
            <w:tcW w:w="618" w:type="pct"/>
            <w:tcBorders>
              <w:top w:val="nil"/>
              <w:left w:val="nil"/>
              <w:bottom w:val="single" w:sz="4" w:space="0" w:color="auto"/>
              <w:right w:val="single" w:sz="4" w:space="0" w:color="auto"/>
            </w:tcBorders>
            <w:shd w:val="clear" w:color="auto" w:fill="auto"/>
            <w:noWrap/>
            <w:hideMark/>
          </w:tcPr>
          <w:p w:rsidR="00A12927" w:rsidRPr="0098014D" w:rsidRDefault="00A12927" w:rsidP="00A12927">
            <w:pPr>
              <w:jc w:val="right"/>
              <w:rPr>
                <w:rFonts w:ascii="Book Antiqua" w:eastAsia="Times New Roman" w:hAnsi="Book Antiqua"/>
              </w:rPr>
            </w:pPr>
            <w:r w:rsidRPr="0098014D">
              <w:rPr>
                <w:rFonts w:ascii="Book Antiqua" w:hAnsi="Book Antiqua"/>
                <w:sz w:val="22"/>
                <w:szCs w:val="22"/>
              </w:rPr>
              <w:t xml:space="preserve"> 1,935 </w:t>
            </w:r>
          </w:p>
        </w:tc>
        <w:tc>
          <w:tcPr>
            <w:tcW w:w="665" w:type="pct"/>
            <w:tcBorders>
              <w:top w:val="nil"/>
              <w:left w:val="nil"/>
              <w:bottom w:val="single" w:sz="4" w:space="0" w:color="auto"/>
              <w:right w:val="single" w:sz="4" w:space="0" w:color="auto"/>
            </w:tcBorders>
            <w:shd w:val="clear" w:color="auto" w:fill="auto"/>
            <w:noWrap/>
            <w:vAlign w:val="center"/>
            <w:hideMark/>
          </w:tcPr>
          <w:p w:rsidR="00A12927" w:rsidRPr="0098014D" w:rsidRDefault="00A12927">
            <w:pPr>
              <w:jc w:val="right"/>
              <w:rPr>
                <w:rFonts w:ascii="Book Antiqua" w:hAnsi="Book Antiqua"/>
              </w:rPr>
            </w:pPr>
            <w:r w:rsidRPr="0098014D">
              <w:rPr>
                <w:rFonts w:ascii="Book Antiqua" w:hAnsi="Book Antiqua"/>
                <w:sz w:val="22"/>
                <w:szCs w:val="22"/>
              </w:rPr>
              <w:t xml:space="preserve">1,221.35 </w:t>
            </w:r>
          </w:p>
        </w:tc>
        <w:tc>
          <w:tcPr>
            <w:tcW w:w="627" w:type="pct"/>
            <w:tcBorders>
              <w:top w:val="nil"/>
              <w:left w:val="nil"/>
              <w:bottom w:val="single" w:sz="4" w:space="0" w:color="auto"/>
              <w:right w:val="single" w:sz="4" w:space="0" w:color="auto"/>
            </w:tcBorders>
            <w:shd w:val="clear" w:color="auto" w:fill="auto"/>
            <w:noWrap/>
            <w:hideMark/>
          </w:tcPr>
          <w:p w:rsidR="00A12927" w:rsidRPr="0098014D" w:rsidRDefault="00A12927">
            <w:pPr>
              <w:jc w:val="right"/>
              <w:rPr>
                <w:rFonts w:ascii="Book Antiqua" w:hAnsi="Book Antiqua"/>
              </w:rPr>
            </w:pPr>
            <w:r w:rsidRPr="0098014D">
              <w:rPr>
                <w:rFonts w:ascii="Book Antiqua" w:hAnsi="Book Antiqua"/>
                <w:sz w:val="22"/>
                <w:szCs w:val="22"/>
              </w:rPr>
              <w:t xml:space="preserve">1,395.38 </w:t>
            </w:r>
          </w:p>
        </w:tc>
        <w:tc>
          <w:tcPr>
            <w:tcW w:w="628" w:type="pct"/>
            <w:tcBorders>
              <w:top w:val="single" w:sz="4" w:space="0" w:color="auto"/>
              <w:left w:val="nil"/>
              <w:bottom w:val="single" w:sz="4" w:space="0" w:color="auto"/>
              <w:right w:val="single" w:sz="4" w:space="0" w:color="auto"/>
            </w:tcBorders>
          </w:tcPr>
          <w:p w:rsidR="00A12927" w:rsidRPr="0098014D" w:rsidRDefault="00A12927" w:rsidP="00A12927">
            <w:pPr>
              <w:jc w:val="center"/>
              <w:rPr>
                <w:rFonts w:ascii="Book Antiqua" w:hAnsi="Book Antiqua"/>
              </w:rPr>
            </w:pPr>
            <w:r w:rsidRPr="0098014D">
              <w:rPr>
                <w:rFonts w:ascii="Book Antiqua" w:hAnsi="Book Antiqua"/>
                <w:sz w:val="22"/>
                <w:szCs w:val="22"/>
              </w:rPr>
              <w:t xml:space="preserve"> 6.68 </w:t>
            </w:r>
          </w:p>
        </w:tc>
        <w:tc>
          <w:tcPr>
            <w:tcW w:w="554" w:type="pct"/>
            <w:tcBorders>
              <w:top w:val="single" w:sz="4" w:space="0" w:color="auto"/>
              <w:left w:val="single" w:sz="4" w:space="0" w:color="auto"/>
              <w:bottom w:val="single" w:sz="4" w:space="0" w:color="auto"/>
              <w:right w:val="single" w:sz="4" w:space="0" w:color="auto"/>
            </w:tcBorders>
            <w:shd w:val="clear" w:color="000000" w:fill="FFFFFF"/>
          </w:tcPr>
          <w:p w:rsidR="00A12927" w:rsidRPr="0098014D" w:rsidRDefault="00A12927" w:rsidP="00A12927">
            <w:pPr>
              <w:jc w:val="center"/>
              <w:rPr>
                <w:rFonts w:ascii="Book Antiqua" w:hAnsi="Book Antiqua"/>
              </w:rPr>
            </w:pPr>
            <w:r w:rsidRPr="0098014D">
              <w:rPr>
                <w:rFonts w:ascii="Book Antiqua" w:hAnsi="Book Antiqua"/>
                <w:sz w:val="22"/>
                <w:szCs w:val="22"/>
              </w:rPr>
              <w:t xml:space="preserve"> 7.21 </w:t>
            </w:r>
          </w:p>
        </w:tc>
      </w:tr>
      <w:tr w:rsidR="0098014D" w:rsidRPr="0098014D" w:rsidTr="001F5D0B">
        <w:trPr>
          <w:trHeight w:val="294"/>
        </w:trPr>
        <w:tc>
          <w:tcPr>
            <w:tcW w:w="1289" w:type="pct"/>
            <w:tcBorders>
              <w:top w:val="nil"/>
              <w:left w:val="single" w:sz="4" w:space="0" w:color="auto"/>
              <w:bottom w:val="single" w:sz="4" w:space="0" w:color="auto"/>
              <w:right w:val="single" w:sz="4" w:space="0" w:color="auto"/>
            </w:tcBorders>
            <w:shd w:val="clear" w:color="auto" w:fill="auto"/>
            <w:noWrap/>
            <w:vAlign w:val="center"/>
            <w:hideMark/>
          </w:tcPr>
          <w:p w:rsidR="00A12927" w:rsidRPr="0098014D" w:rsidRDefault="00A12927" w:rsidP="00A12927">
            <w:pPr>
              <w:rPr>
                <w:rFonts w:ascii="Book Antiqua" w:eastAsia="Times New Roman" w:hAnsi="Book Antiqua"/>
              </w:rPr>
            </w:pPr>
            <w:r w:rsidRPr="0098014D">
              <w:rPr>
                <w:rFonts w:ascii="Book Antiqua" w:eastAsia="Times New Roman" w:hAnsi="Book Antiqua"/>
                <w:sz w:val="22"/>
                <w:szCs w:val="22"/>
              </w:rPr>
              <w:t>Public Water Works</w:t>
            </w:r>
          </w:p>
        </w:tc>
        <w:tc>
          <w:tcPr>
            <w:tcW w:w="619" w:type="pct"/>
            <w:tcBorders>
              <w:top w:val="nil"/>
              <w:left w:val="nil"/>
              <w:bottom w:val="single" w:sz="4" w:space="0" w:color="auto"/>
              <w:right w:val="single" w:sz="4" w:space="0" w:color="auto"/>
            </w:tcBorders>
            <w:shd w:val="clear" w:color="auto" w:fill="auto"/>
            <w:noWrap/>
            <w:hideMark/>
          </w:tcPr>
          <w:p w:rsidR="00A12927" w:rsidRPr="0098014D" w:rsidRDefault="00A12927" w:rsidP="00A12927">
            <w:pPr>
              <w:jc w:val="right"/>
              <w:rPr>
                <w:rFonts w:ascii="Book Antiqua" w:eastAsia="Times New Roman" w:hAnsi="Book Antiqua" w:cs="Arial"/>
              </w:rPr>
            </w:pPr>
            <w:r w:rsidRPr="0098014D">
              <w:rPr>
                <w:rFonts w:ascii="Book Antiqua" w:hAnsi="Book Antiqua"/>
                <w:sz w:val="22"/>
                <w:szCs w:val="22"/>
              </w:rPr>
              <w:t xml:space="preserve"> 780 </w:t>
            </w:r>
          </w:p>
        </w:tc>
        <w:tc>
          <w:tcPr>
            <w:tcW w:w="618" w:type="pct"/>
            <w:tcBorders>
              <w:top w:val="nil"/>
              <w:left w:val="nil"/>
              <w:bottom w:val="single" w:sz="4" w:space="0" w:color="auto"/>
              <w:right w:val="single" w:sz="4" w:space="0" w:color="auto"/>
            </w:tcBorders>
            <w:shd w:val="clear" w:color="auto" w:fill="auto"/>
            <w:noWrap/>
            <w:hideMark/>
          </w:tcPr>
          <w:p w:rsidR="00A12927" w:rsidRPr="0098014D" w:rsidRDefault="00A12927" w:rsidP="00A12927">
            <w:pPr>
              <w:jc w:val="right"/>
              <w:rPr>
                <w:rFonts w:ascii="Book Antiqua" w:eastAsia="Times New Roman" w:hAnsi="Book Antiqua"/>
              </w:rPr>
            </w:pPr>
            <w:r w:rsidRPr="0098014D">
              <w:rPr>
                <w:rFonts w:ascii="Book Antiqua" w:hAnsi="Book Antiqua"/>
                <w:sz w:val="22"/>
                <w:szCs w:val="22"/>
              </w:rPr>
              <w:t xml:space="preserve"> 745 </w:t>
            </w:r>
          </w:p>
        </w:tc>
        <w:tc>
          <w:tcPr>
            <w:tcW w:w="665" w:type="pct"/>
            <w:tcBorders>
              <w:top w:val="nil"/>
              <w:left w:val="nil"/>
              <w:bottom w:val="single" w:sz="4" w:space="0" w:color="auto"/>
              <w:right w:val="single" w:sz="4" w:space="0" w:color="auto"/>
            </w:tcBorders>
            <w:shd w:val="clear" w:color="auto" w:fill="auto"/>
            <w:noWrap/>
            <w:vAlign w:val="center"/>
            <w:hideMark/>
          </w:tcPr>
          <w:p w:rsidR="00A12927" w:rsidRPr="0098014D" w:rsidRDefault="00A12927">
            <w:pPr>
              <w:jc w:val="right"/>
              <w:rPr>
                <w:rFonts w:ascii="Book Antiqua" w:hAnsi="Book Antiqua"/>
              </w:rPr>
            </w:pPr>
            <w:r w:rsidRPr="0098014D">
              <w:rPr>
                <w:rFonts w:ascii="Book Antiqua" w:hAnsi="Book Antiqua"/>
                <w:sz w:val="22"/>
                <w:szCs w:val="22"/>
              </w:rPr>
              <w:t xml:space="preserve">376.78 </w:t>
            </w:r>
          </w:p>
        </w:tc>
        <w:tc>
          <w:tcPr>
            <w:tcW w:w="627" w:type="pct"/>
            <w:tcBorders>
              <w:top w:val="nil"/>
              <w:left w:val="nil"/>
              <w:bottom w:val="single" w:sz="4" w:space="0" w:color="auto"/>
              <w:right w:val="single" w:sz="4" w:space="0" w:color="auto"/>
            </w:tcBorders>
            <w:shd w:val="clear" w:color="auto" w:fill="auto"/>
            <w:noWrap/>
            <w:hideMark/>
          </w:tcPr>
          <w:p w:rsidR="00A12927" w:rsidRPr="0098014D" w:rsidRDefault="00A12927">
            <w:pPr>
              <w:jc w:val="right"/>
              <w:rPr>
                <w:rFonts w:ascii="Book Antiqua" w:hAnsi="Book Antiqua"/>
              </w:rPr>
            </w:pPr>
            <w:r w:rsidRPr="0098014D">
              <w:rPr>
                <w:rFonts w:ascii="Book Antiqua" w:hAnsi="Book Antiqua"/>
                <w:sz w:val="22"/>
                <w:szCs w:val="22"/>
              </w:rPr>
              <w:t xml:space="preserve">393.33 </w:t>
            </w:r>
          </w:p>
        </w:tc>
        <w:tc>
          <w:tcPr>
            <w:tcW w:w="628" w:type="pct"/>
            <w:tcBorders>
              <w:top w:val="single" w:sz="4" w:space="0" w:color="auto"/>
              <w:left w:val="nil"/>
              <w:bottom w:val="single" w:sz="4" w:space="0" w:color="auto"/>
              <w:right w:val="single" w:sz="4" w:space="0" w:color="auto"/>
            </w:tcBorders>
          </w:tcPr>
          <w:p w:rsidR="00A12927" w:rsidRPr="0098014D" w:rsidRDefault="00A12927" w:rsidP="00A12927">
            <w:pPr>
              <w:jc w:val="center"/>
              <w:rPr>
                <w:rFonts w:ascii="Book Antiqua" w:hAnsi="Book Antiqua"/>
              </w:rPr>
            </w:pPr>
            <w:r w:rsidRPr="0098014D">
              <w:rPr>
                <w:rFonts w:ascii="Book Antiqua" w:hAnsi="Book Antiqua"/>
                <w:sz w:val="22"/>
                <w:szCs w:val="22"/>
              </w:rPr>
              <w:t xml:space="preserve"> 4.83 </w:t>
            </w:r>
          </w:p>
        </w:tc>
        <w:tc>
          <w:tcPr>
            <w:tcW w:w="554" w:type="pct"/>
            <w:tcBorders>
              <w:top w:val="single" w:sz="4" w:space="0" w:color="auto"/>
              <w:left w:val="single" w:sz="4" w:space="0" w:color="auto"/>
              <w:bottom w:val="single" w:sz="4" w:space="0" w:color="auto"/>
              <w:right w:val="single" w:sz="4" w:space="0" w:color="auto"/>
            </w:tcBorders>
            <w:shd w:val="clear" w:color="000000" w:fill="FFFFFF"/>
          </w:tcPr>
          <w:p w:rsidR="00A12927" w:rsidRPr="0098014D" w:rsidRDefault="00A12927" w:rsidP="00A12927">
            <w:pPr>
              <w:jc w:val="center"/>
              <w:rPr>
                <w:rFonts w:ascii="Book Antiqua" w:hAnsi="Book Antiqua"/>
              </w:rPr>
            </w:pPr>
            <w:r w:rsidRPr="0098014D">
              <w:rPr>
                <w:rFonts w:ascii="Book Antiqua" w:hAnsi="Book Antiqua"/>
                <w:sz w:val="22"/>
                <w:szCs w:val="22"/>
              </w:rPr>
              <w:t xml:space="preserve"> 5.28 </w:t>
            </w:r>
          </w:p>
        </w:tc>
      </w:tr>
      <w:tr w:rsidR="0098014D" w:rsidRPr="0098014D" w:rsidTr="001F5D0B">
        <w:trPr>
          <w:trHeight w:val="105"/>
        </w:trPr>
        <w:tc>
          <w:tcPr>
            <w:tcW w:w="1289" w:type="pct"/>
            <w:tcBorders>
              <w:top w:val="nil"/>
              <w:left w:val="single" w:sz="4" w:space="0" w:color="auto"/>
              <w:bottom w:val="single" w:sz="4" w:space="0" w:color="auto"/>
              <w:right w:val="single" w:sz="4" w:space="0" w:color="auto"/>
            </w:tcBorders>
            <w:shd w:val="clear" w:color="auto" w:fill="auto"/>
            <w:noWrap/>
            <w:vAlign w:val="center"/>
            <w:hideMark/>
          </w:tcPr>
          <w:p w:rsidR="00FE0324" w:rsidRPr="0098014D" w:rsidRDefault="00FE0324" w:rsidP="00FE0324">
            <w:pPr>
              <w:rPr>
                <w:rFonts w:ascii="Book Antiqua" w:eastAsia="Times New Roman" w:hAnsi="Book Antiqua"/>
              </w:rPr>
            </w:pPr>
            <w:r w:rsidRPr="0098014D">
              <w:rPr>
                <w:rFonts w:ascii="Book Antiqua" w:eastAsia="Times New Roman" w:hAnsi="Book Antiqua"/>
                <w:sz w:val="22"/>
                <w:szCs w:val="22"/>
              </w:rPr>
              <w:t>Agriculture - Metered</w:t>
            </w:r>
          </w:p>
        </w:tc>
        <w:tc>
          <w:tcPr>
            <w:tcW w:w="619" w:type="pct"/>
            <w:tcBorders>
              <w:top w:val="nil"/>
              <w:left w:val="nil"/>
              <w:bottom w:val="single" w:sz="4" w:space="0" w:color="auto"/>
              <w:right w:val="single" w:sz="4" w:space="0" w:color="auto"/>
            </w:tcBorders>
            <w:shd w:val="clear" w:color="auto" w:fill="auto"/>
            <w:noWrap/>
            <w:hideMark/>
          </w:tcPr>
          <w:p w:rsidR="00FE0324" w:rsidRPr="0098014D" w:rsidRDefault="00FE0324" w:rsidP="00FE0324">
            <w:pPr>
              <w:jc w:val="right"/>
              <w:rPr>
                <w:rFonts w:ascii="Book Antiqua" w:eastAsia="Times New Roman" w:hAnsi="Book Antiqua" w:cs="Arial"/>
              </w:rPr>
            </w:pPr>
            <w:r w:rsidRPr="0098014D">
              <w:rPr>
                <w:rFonts w:ascii="Book Antiqua" w:hAnsi="Book Antiqua"/>
                <w:sz w:val="22"/>
                <w:szCs w:val="22"/>
              </w:rPr>
              <w:t xml:space="preserve"> 3,714 </w:t>
            </w:r>
          </w:p>
        </w:tc>
        <w:tc>
          <w:tcPr>
            <w:tcW w:w="618" w:type="pct"/>
            <w:tcBorders>
              <w:top w:val="single" w:sz="4" w:space="0" w:color="auto"/>
              <w:left w:val="single" w:sz="4" w:space="0" w:color="auto"/>
              <w:bottom w:val="single" w:sz="4" w:space="0" w:color="auto"/>
              <w:right w:val="single" w:sz="4" w:space="0" w:color="auto"/>
            </w:tcBorders>
            <w:shd w:val="clear" w:color="auto" w:fill="auto"/>
            <w:noWrap/>
            <w:hideMark/>
          </w:tcPr>
          <w:p w:rsidR="00FE0324" w:rsidRPr="0098014D" w:rsidRDefault="00FE0324" w:rsidP="00FE0324">
            <w:pPr>
              <w:jc w:val="right"/>
              <w:rPr>
                <w:rFonts w:ascii="Book Antiqua" w:hAnsi="Book Antiqua"/>
              </w:rPr>
            </w:pPr>
            <w:r w:rsidRPr="0098014D">
              <w:rPr>
                <w:rFonts w:ascii="Book Antiqua" w:hAnsi="Book Antiqua"/>
                <w:sz w:val="22"/>
                <w:szCs w:val="22"/>
              </w:rPr>
              <w:t xml:space="preserve"> 3,406</w:t>
            </w:r>
          </w:p>
          <w:p w:rsidR="00FE0324" w:rsidRPr="0098014D" w:rsidRDefault="00FE0324" w:rsidP="005C597E">
            <w:pPr>
              <w:jc w:val="right"/>
              <w:rPr>
                <w:rFonts w:ascii="Book Antiqua" w:eastAsia="Times New Roman" w:hAnsi="Book Antiqua"/>
              </w:rPr>
            </w:pPr>
          </w:p>
        </w:tc>
        <w:tc>
          <w:tcPr>
            <w:tcW w:w="665" w:type="pct"/>
            <w:tcBorders>
              <w:top w:val="nil"/>
              <w:left w:val="single" w:sz="4" w:space="0" w:color="auto"/>
              <w:bottom w:val="single" w:sz="4" w:space="0" w:color="auto"/>
              <w:right w:val="single" w:sz="4" w:space="0" w:color="auto"/>
            </w:tcBorders>
            <w:shd w:val="clear" w:color="auto" w:fill="auto"/>
            <w:noWrap/>
            <w:vAlign w:val="center"/>
            <w:hideMark/>
          </w:tcPr>
          <w:p w:rsidR="00FE0324" w:rsidRPr="0098014D" w:rsidRDefault="00FE0324" w:rsidP="00FE0324">
            <w:pPr>
              <w:jc w:val="right"/>
              <w:rPr>
                <w:rFonts w:ascii="Book Antiqua" w:hAnsi="Book Antiqua"/>
              </w:rPr>
            </w:pPr>
            <w:r w:rsidRPr="0098014D">
              <w:rPr>
                <w:rFonts w:ascii="Book Antiqua" w:hAnsi="Book Antiqua"/>
                <w:sz w:val="22"/>
                <w:szCs w:val="22"/>
              </w:rPr>
              <w:t xml:space="preserve">840.51 </w:t>
            </w:r>
          </w:p>
        </w:tc>
        <w:tc>
          <w:tcPr>
            <w:tcW w:w="627" w:type="pct"/>
            <w:tcBorders>
              <w:top w:val="nil"/>
              <w:left w:val="single" w:sz="4" w:space="0" w:color="auto"/>
              <w:bottom w:val="single" w:sz="4" w:space="0" w:color="auto"/>
              <w:right w:val="single" w:sz="4" w:space="0" w:color="auto"/>
            </w:tcBorders>
            <w:shd w:val="clear" w:color="auto" w:fill="auto"/>
            <w:noWrap/>
            <w:hideMark/>
          </w:tcPr>
          <w:p w:rsidR="00FE0324" w:rsidRPr="0098014D" w:rsidRDefault="00FE0324" w:rsidP="00FE0324">
            <w:pPr>
              <w:jc w:val="right"/>
              <w:rPr>
                <w:rFonts w:ascii="Book Antiqua" w:hAnsi="Book Antiqua"/>
                <w:highlight w:val="yellow"/>
              </w:rPr>
            </w:pPr>
            <w:r w:rsidRPr="0098014D">
              <w:rPr>
                <w:rFonts w:ascii="Book Antiqua" w:hAnsi="Book Antiqua"/>
                <w:sz w:val="22"/>
                <w:szCs w:val="22"/>
              </w:rPr>
              <w:t>862.80</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FE0324" w:rsidRPr="0098014D" w:rsidRDefault="00FE0324" w:rsidP="00FE0324">
            <w:pPr>
              <w:jc w:val="center"/>
              <w:rPr>
                <w:rFonts w:ascii="Book Antiqua" w:hAnsi="Book Antiqua"/>
              </w:rPr>
            </w:pPr>
            <w:r w:rsidRPr="0098014D">
              <w:rPr>
                <w:rFonts w:ascii="Book Antiqua" w:hAnsi="Book Antiqua"/>
                <w:sz w:val="22"/>
                <w:szCs w:val="22"/>
              </w:rPr>
              <w:t>2.26</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FE0324" w:rsidRPr="0098014D" w:rsidRDefault="00FE0324">
            <w:pPr>
              <w:jc w:val="center"/>
              <w:rPr>
                <w:rFonts w:ascii="Book Antiqua" w:hAnsi="Book Antiqua"/>
              </w:rPr>
            </w:pPr>
            <w:r w:rsidRPr="0098014D">
              <w:rPr>
                <w:rFonts w:ascii="Book Antiqua" w:hAnsi="Book Antiqua"/>
                <w:sz w:val="22"/>
                <w:szCs w:val="22"/>
              </w:rPr>
              <w:t>2.53</w:t>
            </w:r>
          </w:p>
        </w:tc>
      </w:tr>
      <w:tr w:rsidR="0098014D" w:rsidRPr="0098014D" w:rsidTr="001F5D0B">
        <w:trPr>
          <w:trHeight w:val="294"/>
        </w:trPr>
        <w:tc>
          <w:tcPr>
            <w:tcW w:w="1289" w:type="pct"/>
            <w:tcBorders>
              <w:top w:val="nil"/>
              <w:left w:val="single" w:sz="4" w:space="0" w:color="auto"/>
              <w:bottom w:val="single" w:sz="4" w:space="0" w:color="auto"/>
              <w:right w:val="single" w:sz="4" w:space="0" w:color="auto"/>
            </w:tcBorders>
            <w:shd w:val="clear" w:color="auto" w:fill="auto"/>
            <w:noWrap/>
            <w:vAlign w:val="center"/>
            <w:hideMark/>
          </w:tcPr>
          <w:p w:rsidR="00FE0324" w:rsidRPr="0098014D" w:rsidRDefault="00FE0324" w:rsidP="00FE0324">
            <w:pPr>
              <w:rPr>
                <w:rFonts w:ascii="Book Antiqua" w:eastAsia="Times New Roman" w:hAnsi="Book Antiqua"/>
              </w:rPr>
            </w:pPr>
            <w:r w:rsidRPr="0098014D">
              <w:rPr>
                <w:rFonts w:ascii="Book Antiqua" w:eastAsia="Times New Roman" w:hAnsi="Book Antiqua"/>
                <w:sz w:val="22"/>
                <w:szCs w:val="22"/>
              </w:rPr>
              <w:t>Agriculture - Unmetered</w:t>
            </w:r>
          </w:p>
        </w:tc>
        <w:tc>
          <w:tcPr>
            <w:tcW w:w="619" w:type="pct"/>
            <w:tcBorders>
              <w:top w:val="nil"/>
              <w:left w:val="nil"/>
              <w:bottom w:val="single" w:sz="4" w:space="0" w:color="auto"/>
              <w:right w:val="single" w:sz="4" w:space="0" w:color="auto"/>
            </w:tcBorders>
            <w:shd w:val="clear" w:color="auto" w:fill="auto"/>
            <w:noWrap/>
            <w:hideMark/>
          </w:tcPr>
          <w:p w:rsidR="00FE0324" w:rsidRPr="0098014D" w:rsidRDefault="00FE0324" w:rsidP="00FE0324">
            <w:pPr>
              <w:jc w:val="right"/>
              <w:rPr>
                <w:rFonts w:ascii="Book Antiqua" w:eastAsia="Times New Roman" w:hAnsi="Book Antiqua" w:cs="Arial"/>
              </w:rPr>
            </w:pPr>
            <w:r w:rsidRPr="0098014D">
              <w:rPr>
                <w:rFonts w:ascii="Book Antiqua" w:hAnsi="Book Antiqua"/>
                <w:sz w:val="22"/>
                <w:szCs w:val="22"/>
              </w:rPr>
              <w:t xml:space="preserve"> 6,219 </w:t>
            </w:r>
          </w:p>
        </w:tc>
        <w:tc>
          <w:tcPr>
            <w:tcW w:w="618" w:type="pct"/>
            <w:tcBorders>
              <w:top w:val="single" w:sz="4" w:space="0" w:color="auto"/>
              <w:left w:val="single" w:sz="4" w:space="0" w:color="auto"/>
              <w:bottom w:val="single" w:sz="4" w:space="0" w:color="auto"/>
              <w:right w:val="single" w:sz="4" w:space="0" w:color="auto"/>
            </w:tcBorders>
            <w:shd w:val="clear" w:color="auto" w:fill="auto"/>
            <w:hideMark/>
          </w:tcPr>
          <w:p w:rsidR="00FE0324" w:rsidRPr="0098014D" w:rsidRDefault="00FE0324" w:rsidP="005C597E">
            <w:pPr>
              <w:jc w:val="right"/>
              <w:rPr>
                <w:rFonts w:ascii="Book Antiqua" w:eastAsia="Times New Roman" w:hAnsi="Book Antiqua"/>
              </w:rPr>
            </w:pPr>
            <w:r w:rsidRPr="0098014D">
              <w:rPr>
                <w:rFonts w:ascii="Book Antiqua" w:hAnsi="Book Antiqua"/>
                <w:sz w:val="22"/>
                <w:szCs w:val="22"/>
              </w:rPr>
              <w:t>6,331</w:t>
            </w:r>
          </w:p>
        </w:tc>
        <w:tc>
          <w:tcPr>
            <w:tcW w:w="665" w:type="pct"/>
            <w:tcBorders>
              <w:top w:val="nil"/>
              <w:left w:val="single" w:sz="4" w:space="0" w:color="auto"/>
              <w:bottom w:val="single" w:sz="4" w:space="0" w:color="auto"/>
              <w:right w:val="single" w:sz="4" w:space="0" w:color="auto"/>
            </w:tcBorders>
            <w:shd w:val="clear" w:color="auto" w:fill="auto"/>
            <w:noWrap/>
            <w:vAlign w:val="center"/>
            <w:hideMark/>
          </w:tcPr>
          <w:p w:rsidR="00FE0324" w:rsidRPr="0098014D" w:rsidRDefault="00FE0324" w:rsidP="00FE0324">
            <w:pPr>
              <w:jc w:val="right"/>
              <w:rPr>
                <w:rFonts w:ascii="Book Antiqua" w:hAnsi="Book Antiqua"/>
              </w:rPr>
            </w:pPr>
            <w:r w:rsidRPr="0098014D">
              <w:rPr>
                <w:rFonts w:ascii="Book Antiqua" w:hAnsi="Book Antiqua"/>
                <w:sz w:val="22"/>
                <w:szCs w:val="22"/>
              </w:rPr>
              <w:t xml:space="preserve">1,807.22 </w:t>
            </w:r>
          </w:p>
        </w:tc>
        <w:tc>
          <w:tcPr>
            <w:tcW w:w="627" w:type="pct"/>
            <w:tcBorders>
              <w:top w:val="single" w:sz="4" w:space="0" w:color="auto"/>
              <w:left w:val="single" w:sz="4" w:space="0" w:color="auto"/>
              <w:bottom w:val="single" w:sz="4" w:space="0" w:color="auto"/>
              <w:right w:val="single" w:sz="4" w:space="0" w:color="auto"/>
            </w:tcBorders>
            <w:shd w:val="clear" w:color="auto" w:fill="auto"/>
            <w:hideMark/>
          </w:tcPr>
          <w:p w:rsidR="00FE0324" w:rsidRPr="0098014D" w:rsidRDefault="00FE0324" w:rsidP="005C597E">
            <w:pPr>
              <w:jc w:val="right"/>
              <w:rPr>
                <w:rFonts w:ascii="Book Antiqua" w:hAnsi="Book Antiqua"/>
              </w:rPr>
            </w:pPr>
            <w:r w:rsidRPr="0098014D">
              <w:rPr>
                <w:rFonts w:ascii="Book Antiqua" w:hAnsi="Book Antiqua"/>
                <w:sz w:val="22"/>
                <w:szCs w:val="22"/>
              </w:rPr>
              <w:t>2229.61</w:t>
            </w:r>
          </w:p>
        </w:tc>
        <w:tc>
          <w:tcPr>
            <w:tcW w:w="628" w:type="pct"/>
            <w:tcBorders>
              <w:top w:val="single" w:sz="4" w:space="0" w:color="auto"/>
              <w:left w:val="single" w:sz="4" w:space="0" w:color="auto"/>
              <w:bottom w:val="single" w:sz="4" w:space="0" w:color="auto"/>
              <w:right w:val="single" w:sz="4" w:space="0" w:color="auto"/>
            </w:tcBorders>
            <w:shd w:val="clear" w:color="auto" w:fill="auto"/>
          </w:tcPr>
          <w:p w:rsidR="00FE0324" w:rsidRPr="0098014D" w:rsidRDefault="00FE0324" w:rsidP="005C597E">
            <w:pPr>
              <w:jc w:val="center"/>
              <w:rPr>
                <w:rFonts w:ascii="Book Antiqua" w:hAnsi="Book Antiqua"/>
              </w:rPr>
            </w:pPr>
            <w:r w:rsidRPr="0098014D">
              <w:rPr>
                <w:rFonts w:ascii="Book Antiqua" w:hAnsi="Book Antiqua"/>
                <w:sz w:val="22"/>
                <w:szCs w:val="22"/>
              </w:rPr>
              <w:t>2.90</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FE0324" w:rsidRPr="0098014D" w:rsidRDefault="00FE0324" w:rsidP="005C597E">
            <w:pPr>
              <w:jc w:val="center"/>
              <w:rPr>
                <w:rFonts w:ascii="Book Antiqua" w:hAnsi="Book Antiqua"/>
              </w:rPr>
            </w:pPr>
            <w:r w:rsidRPr="0098014D">
              <w:rPr>
                <w:rFonts w:ascii="Book Antiqua" w:hAnsi="Book Antiqua"/>
                <w:sz w:val="22"/>
                <w:szCs w:val="22"/>
              </w:rPr>
              <w:t>3.52</w:t>
            </w:r>
          </w:p>
        </w:tc>
      </w:tr>
      <w:tr w:rsidR="0098014D" w:rsidRPr="0098014D" w:rsidTr="001F5D0B">
        <w:trPr>
          <w:trHeight w:val="294"/>
        </w:trPr>
        <w:tc>
          <w:tcPr>
            <w:tcW w:w="1289" w:type="pct"/>
            <w:tcBorders>
              <w:top w:val="nil"/>
              <w:left w:val="single" w:sz="4" w:space="0" w:color="auto"/>
              <w:bottom w:val="single" w:sz="4" w:space="0" w:color="auto"/>
              <w:right w:val="single" w:sz="4" w:space="0" w:color="auto"/>
            </w:tcBorders>
            <w:shd w:val="clear" w:color="auto" w:fill="auto"/>
            <w:noWrap/>
            <w:vAlign w:val="center"/>
            <w:hideMark/>
          </w:tcPr>
          <w:p w:rsidR="00A12927" w:rsidRPr="0098014D" w:rsidRDefault="00A12927" w:rsidP="00A12927">
            <w:pPr>
              <w:rPr>
                <w:rFonts w:ascii="Book Antiqua" w:eastAsia="Times New Roman" w:hAnsi="Book Antiqua"/>
              </w:rPr>
            </w:pPr>
            <w:r w:rsidRPr="0098014D">
              <w:rPr>
                <w:rFonts w:ascii="Book Antiqua" w:eastAsia="Times New Roman" w:hAnsi="Book Antiqua"/>
                <w:sz w:val="22"/>
                <w:szCs w:val="22"/>
              </w:rPr>
              <w:t>Public Lighting</w:t>
            </w:r>
          </w:p>
        </w:tc>
        <w:tc>
          <w:tcPr>
            <w:tcW w:w="619" w:type="pct"/>
            <w:tcBorders>
              <w:top w:val="nil"/>
              <w:left w:val="nil"/>
              <w:bottom w:val="single" w:sz="4" w:space="0" w:color="auto"/>
              <w:right w:val="single" w:sz="4" w:space="0" w:color="auto"/>
            </w:tcBorders>
            <w:shd w:val="clear" w:color="auto" w:fill="auto"/>
            <w:noWrap/>
            <w:hideMark/>
          </w:tcPr>
          <w:p w:rsidR="00A12927" w:rsidRPr="0098014D" w:rsidRDefault="00A12927" w:rsidP="00A12927">
            <w:pPr>
              <w:jc w:val="right"/>
              <w:rPr>
                <w:rFonts w:ascii="Book Antiqua" w:eastAsia="Times New Roman" w:hAnsi="Book Antiqua" w:cs="Arial"/>
              </w:rPr>
            </w:pPr>
            <w:r w:rsidRPr="0098014D">
              <w:rPr>
                <w:rFonts w:ascii="Book Antiqua" w:hAnsi="Book Antiqua"/>
                <w:sz w:val="22"/>
                <w:szCs w:val="22"/>
              </w:rPr>
              <w:t xml:space="preserve"> 62 </w:t>
            </w:r>
          </w:p>
        </w:tc>
        <w:tc>
          <w:tcPr>
            <w:tcW w:w="618" w:type="pct"/>
            <w:tcBorders>
              <w:top w:val="single" w:sz="4" w:space="0" w:color="auto"/>
              <w:left w:val="nil"/>
              <w:bottom w:val="single" w:sz="4" w:space="0" w:color="auto"/>
              <w:right w:val="single" w:sz="4" w:space="0" w:color="auto"/>
            </w:tcBorders>
            <w:shd w:val="clear" w:color="auto" w:fill="auto"/>
            <w:noWrap/>
            <w:hideMark/>
          </w:tcPr>
          <w:p w:rsidR="00A12927" w:rsidRPr="0098014D" w:rsidRDefault="00A12927" w:rsidP="00A12927">
            <w:pPr>
              <w:jc w:val="right"/>
              <w:rPr>
                <w:rFonts w:ascii="Book Antiqua" w:eastAsia="Times New Roman" w:hAnsi="Book Antiqua"/>
              </w:rPr>
            </w:pPr>
            <w:r w:rsidRPr="0098014D">
              <w:rPr>
                <w:rFonts w:ascii="Book Antiqua" w:hAnsi="Book Antiqua"/>
                <w:sz w:val="22"/>
                <w:szCs w:val="22"/>
              </w:rPr>
              <w:t xml:space="preserve"> 56 </w:t>
            </w:r>
          </w:p>
        </w:tc>
        <w:tc>
          <w:tcPr>
            <w:tcW w:w="665" w:type="pct"/>
            <w:tcBorders>
              <w:top w:val="nil"/>
              <w:left w:val="nil"/>
              <w:bottom w:val="single" w:sz="4" w:space="0" w:color="auto"/>
              <w:right w:val="single" w:sz="4" w:space="0" w:color="auto"/>
            </w:tcBorders>
            <w:shd w:val="clear" w:color="auto" w:fill="auto"/>
            <w:noWrap/>
            <w:vAlign w:val="center"/>
            <w:hideMark/>
          </w:tcPr>
          <w:p w:rsidR="00A12927" w:rsidRPr="0098014D" w:rsidRDefault="00A12927">
            <w:pPr>
              <w:jc w:val="right"/>
              <w:rPr>
                <w:rFonts w:ascii="Book Antiqua" w:hAnsi="Book Antiqua"/>
              </w:rPr>
            </w:pPr>
            <w:r w:rsidRPr="0098014D">
              <w:rPr>
                <w:rFonts w:ascii="Book Antiqua" w:hAnsi="Book Antiqua"/>
                <w:sz w:val="22"/>
                <w:szCs w:val="22"/>
              </w:rPr>
              <w:t xml:space="preserve">33.15 </w:t>
            </w:r>
          </w:p>
        </w:tc>
        <w:tc>
          <w:tcPr>
            <w:tcW w:w="627" w:type="pct"/>
            <w:tcBorders>
              <w:top w:val="single" w:sz="4" w:space="0" w:color="auto"/>
              <w:left w:val="nil"/>
              <w:bottom w:val="single" w:sz="4" w:space="0" w:color="auto"/>
              <w:right w:val="single" w:sz="4" w:space="0" w:color="auto"/>
            </w:tcBorders>
            <w:shd w:val="clear" w:color="auto" w:fill="auto"/>
            <w:noWrap/>
            <w:vAlign w:val="center"/>
            <w:hideMark/>
          </w:tcPr>
          <w:p w:rsidR="00A12927" w:rsidRPr="0098014D" w:rsidRDefault="00A12927">
            <w:pPr>
              <w:jc w:val="right"/>
              <w:rPr>
                <w:rFonts w:ascii="Book Antiqua" w:hAnsi="Book Antiqua"/>
              </w:rPr>
            </w:pPr>
            <w:r w:rsidRPr="0098014D">
              <w:rPr>
                <w:rFonts w:ascii="Book Antiqua" w:hAnsi="Book Antiqua"/>
                <w:sz w:val="22"/>
                <w:szCs w:val="22"/>
              </w:rPr>
              <w:t xml:space="preserve">32.32 </w:t>
            </w:r>
          </w:p>
        </w:tc>
        <w:tc>
          <w:tcPr>
            <w:tcW w:w="628" w:type="pct"/>
            <w:tcBorders>
              <w:top w:val="single" w:sz="4" w:space="0" w:color="auto"/>
              <w:left w:val="nil"/>
              <w:bottom w:val="single" w:sz="4" w:space="0" w:color="auto"/>
              <w:right w:val="single" w:sz="4" w:space="0" w:color="auto"/>
            </w:tcBorders>
          </w:tcPr>
          <w:p w:rsidR="00A12927" w:rsidRPr="0098014D" w:rsidRDefault="00A12927" w:rsidP="00A12927">
            <w:pPr>
              <w:jc w:val="center"/>
              <w:rPr>
                <w:rFonts w:ascii="Book Antiqua" w:hAnsi="Book Antiqua"/>
              </w:rPr>
            </w:pPr>
            <w:r w:rsidRPr="0098014D">
              <w:rPr>
                <w:rFonts w:ascii="Book Antiqua" w:hAnsi="Book Antiqua"/>
                <w:sz w:val="22"/>
                <w:szCs w:val="22"/>
              </w:rPr>
              <w:t xml:space="preserve"> 5.35 </w:t>
            </w:r>
          </w:p>
        </w:tc>
        <w:tc>
          <w:tcPr>
            <w:tcW w:w="554" w:type="pct"/>
            <w:tcBorders>
              <w:top w:val="single" w:sz="4" w:space="0" w:color="auto"/>
              <w:left w:val="single" w:sz="4" w:space="0" w:color="auto"/>
              <w:bottom w:val="single" w:sz="4" w:space="0" w:color="auto"/>
              <w:right w:val="single" w:sz="4" w:space="0" w:color="auto"/>
            </w:tcBorders>
            <w:shd w:val="clear" w:color="000000" w:fill="FFFFFF"/>
          </w:tcPr>
          <w:p w:rsidR="00A12927" w:rsidRPr="0098014D" w:rsidRDefault="00A12927" w:rsidP="00A12927">
            <w:pPr>
              <w:jc w:val="center"/>
              <w:rPr>
                <w:rFonts w:ascii="Book Antiqua" w:hAnsi="Book Antiqua"/>
              </w:rPr>
            </w:pPr>
            <w:r w:rsidRPr="0098014D">
              <w:rPr>
                <w:rFonts w:ascii="Book Antiqua" w:hAnsi="Book Antiqua"/>
                <w:sz w:val="22"/>
                <w:szCs w:val="22"/>
              </w:rPr>
              <w:t xml:space="preserve"> 5.82 </w:t>
            </w:r>
          </w:p>
        </w:tc>
      </w:tr>
      <w:tr w:rsidR="0098014D" w:rsidRPr="0098014D" w:rsidTr="001F5D0B">
        <w:trPr>
          <w:trHeight w:val="294"/>
        </w:trPr>
        <w:tc>
          <w:tcPr>
            <w:tcW w:w="1289" w:type="pct"/>
            <w:tcBorders>
              <w:top w:val="nil"/>
              <w:left w:val="single" w:sz="4" w:space="0" w:color="auto"/>
              <w:bottom w:val="single" w:sz="4" w:space="0" w:color="auto"/>
              <w:right w:val="single" w:sz="4" w:space="0" w:color="auto"/>
            </w:tcBorders>
            <w:shd w:val="clear" w:color="auto" w:fill="auto"/>
            <w:noWrap/>
            <w:vAlign w:val="center"/>
            <w:hideMark/>
          </w:tcPr>
          <w:p w:rsidR="00A12927" w:rsidRPr="0098014D" w:rsidRDefault="00A12927" w:rsidP="00A12927">
            <w:pPr>
              <w:rPr>
                <w:rFonts w:ascii="Book Antiqua" w:eastAsia="Times New Roman" w:hAnsi="Book Antiqua"/>
              </w:rPr>
            </w:pPr>
            <w:r w:rsidRPr="0098014D">
              <w:rPr>
                <w:rFonts w:ascii="Book Antiqua" w:eastAsia="Times New Roman" w:hAnsi="Book Antiqua"/>
                <w:sz w:val="22"/>
                <w:szCs w:val="22"/>
              </w:rPr>
              <w:t>Industrial HT</w:t>
            </w:r>
          </w:p>
        </w:tc>
        <w:tc>
          <w:tcPr>
            <w:tcW w:w="619" w:type="pct"/>
            <w:tcBorders>
              <w:top w:val="nil"/>
              <w:left w:val="nil"/>
              <w:bottom w:val="single" w:sz="4" w:space="0" w:color="auto"/>
              <w:right w:val="single" w:sz="4" w:space="0" w:color="auto"/>
            </w:tcBorders>
            <w:shd w:val="clear" w:color="auto" w:fill="auto"/>
            <w:noWrap/>
            <w:vAlign w:val="bottom"/>
            <w:hideMark/>
          </w:tcPr>
          <w:p w:rsidR="00A12927" w:rsidRPr="0098014D" w:rsidRDefault="00A12927" w:rsidP="00A12927">
            <w:pPr>
              <w:jc w:val="right"/>
              <w:rPr>
                <w:rFonts w:ascii="Book Antiqua" w:hAnsi="Book Antiqua"/>
              </w:rPr>
            </w:pPr>
            <w:r w:rsidRPr="0098014D">
              <w:rPr>
                <w:rFonts w:ascii="Book Antiqua" w:hAnsi="Book Antiqua"/>
                <w:sz w:val="22"/>
                <w:szCs w:val="22"/>
              </w:rPr>
              <w:t>4,802</w:t>
            </w:r>
          </w:p>
        </w:tc>
        <w:tc>
          <w:tcPr>
            <w:tcW w:w="618" w:type="pct"/>
            <w:tcBorders>
              <w:top w:val="nil"/>
              <w:left w:val="nil"/>
              <w:bottom w:val="single" w:sz="4" w:space="0" w:color="auto"/>
              <w:right w:val="single" w:sz="4" w:space="0" w:color="auto"/>
            </w:tcBorders>
            <w:shd w:val="clear" w:color="auto" w:fill="auto"/>
            <w:noWrap/>
            <w:vAlign w:val="center"/>
            <w:hideMark/>
          </w:tcPr>
          <w:p w:rsidR="00A12927" w:rsidRPr="0098014D" w:rsidRDefault="00A12927" w:rsidP="00A12927">
            <w:pPr>
              <w:jc w:val="right"/>
              <w:rPr>
                <w:rFonts w:ascii="Book Antiqua" w:hAnsi="Book Antiqua"/>
              </w:rPr>
            </w:pPr>
            <w:r w:rsidRPr="0098014D">
              <w:rPr>
                <w:rFonts w:ascii="Book Antiqua" w:hAnsi="Book Antiqua"/>
                <w:sz w:val="22"/>
                <w:szCs w:val="22"/>
              </w:rPr>
              <w:t>7,621</w:t>
            </w:r>
          </w:p>
        </w:tc>
        <w:tc>
          <w:tcPr>
            <w:tcW w:w="665" w:type="pct"/>
            <w:tcBorders>
              <w:top w:val="nil"/>
              <w:left w:val="nil"/>
              <w:bottom w:val="single" w:sz="4" w:space="0" w:color="auto"/>
              <w:right w:val="single" w:sz="4" w:space="0" w:color="auto"/>
            </w:tcBorders>
            <w:shd w:val="clear" w:color="auto" w:fill="auto"/>
            <w:noWrap/>
            <w:vAlign w:val="center"/>
            <w:hideMark/>
          </w:tcPr>
          <w:p w:rsidR="00A12927" w:rsidRPr="0098014D" w:rsidRDefault="00A12927">
            <w:pPr>
              <w:jc w:val="right"/>
              <w:rPr>
                <w:rFonts w:ascii="Book Antiqua" w:hAnsi="Book Antiqua"/>
              </w:rPr>
            </w:pPr>
            <w:r w:rsidRPr="0098014D">
              <w:rPr>
                <w:rFonts w:ascii="Book Antiqua" w:hAnsi="Book Antiqua"/>
                <w:sz w:val="22"/>
                <w:szCs w:val="22"/>
              </w:rPr>
              <w:t>3,739.03</w:t>
            </w:r>
          </w:p>
        </w:tc>
        <w:tc>
          <w:tcPr>
            <w:tcW w:w="627" w:type="pct"/>
            <w:tcBorders>
              <w:top w:val="nil"/>
              <w:left w:val="nil"/>
              <w:bottom w:val="single" w:sz="4" w:space="0" w:color="auto"/>
              <w:right w:val="single" w:sz="4" w:space="0" w:color="auto"/>
            </w:tcBorders>
            <w:shd w:val="clear" w:color="auto" w:fill="auto"/>
            <w:noWrap/>
            <w:vAlign w:val="center"/>
            <w:hideMark/>
          </w:tcPr>
          <w:p w:rsidR="00A12927" w:rsidRPr="0098014D" w:rsidRDefault="00A12927">
            <w:pPr>
              <w:jc w:val="right"/>
              <w:rPr>
                <w:rFonts w:ascii="Book Antiqua" w:hAnsi="Book Antiqua"/>
              </w:rPr>
            </w:pPr>
            <w:r w:rsidRPr="0098014D">
              <w:rPr>
                <w:rFonts w:ascii="Book Antiqua" w:hAnsi="Book Antiqua"/>
                <w:sz w:val="22"/>
                <w:szCs w:val="22"/>
              </w:rPr>
              <w:t xml:space="preserve">5,229.57 </w:t>
            </w:r>
          </w:p>
        </w:tc>
        <w:tc>
          <w:tcPr>
            <w:tcW w:w="628" w:type="pct"/>
            <w:tcBorders>
              <w:top w:val="single" w:sz="4" w:space="0" w:color="auto"/>
              <w:left w:val="nil"/>
              <w:bottom w:val="single" w:sz="4" w:space="0" w:color="auto"/>
              <w:right w:val="single" w:sz="4" w:space="0" w:color="auto"/>
            </w:tcBorders>
          </w:tcPr>
          <w:p w:rsidR="00A12927" w:rsidRPr="0098014D" w:rsidRDefault="00A12927" w:rsidP="00A12927">
            <w:pPr>
              <w:jc w:val="center"/>
              <w:rPr>
                <w:rFonts w:ascii="Book Antiqua" w:hAnsi="Book Antiqua"/>
              </w:rPr>
            </w:pPr>
            <w:r w:rsidRPr="0098014D">
              <w:rPr>
                <w:rFonts w:ascii="Book Antiqua" w:hAnsi="Book Antiqua"/>
                <w:sz w:val="22"/>
                <w:szCs w:val="22"/>
              </w:rPr>
              <w:t xml:space="preserve"> 7.79 </w:t>
            </w:r>
          </w:p>
        </w:tc>
        <w:tc>
          <w:tcPr>
            <w:tcW w:w="554" w:type="pct"/>
            <w:tcBorders>
              <w:top w:val="single" w:sz="4" w:space="0" w:color="auto"/>
              <w:left w:val="single" w:sz="4" w:space="0" w:color="auto"/>
              <w:bottom w:val="single" w:sz="4" w:space="0" w:color="auto"/>
              <w:right w:val="single" w:sz="4" w:space="0" w:color="auto"/>
            </w:tcBorders>
            <w:shd w:val="clear" w:color="000000" w:fill="FFFFFF"/>
          </w:tcPr>
          <w:p w:rsidR="00A12927" w:rsidRPr="0098014D" w:rsidRDefault="00A12927" w:rsidP="00A12927">
            <w:pPr>
              <w:jc w:val="center"/>
              <w:rPr>
                <w:rFonts w:ascii="Book Antiqua" w:hAnsi="Book Antiqua"/>
              </w:rPr>
            </w:pPr>
            <w:r w:rsidRPr="0098014D">
              <w:rPr>
                <w:rFonts w:ascii="Book Antiqua" w:hAnsi="Book Antiqua"/>
                <w:sz w:val="22"/>
                <w:szCs w:val="22"/>
              </w:rPr>
              <w:t xml:space="preserve"> 6.86 </w:t>
            </w:r>
          </w:p>
        </w:tc>
      </w:tr>
    </w:tbl>
    <w:p w:rsidR="00AD6028" w:rsidRDefault="00BC488A" w:rsidP="005C597E">
      <w:pPr>
        <w:spacing w:after="120" w:line="312" w:lineRule="auto"/>
        <w:ind w:left="630"/>
        <w:jc w:val="both"/>
        <w:rPr>
          <w:rFonts w:ascii="Book Antiqua" w:hAnsi="Book Antiqua"/>
          <w:i/>
          <w:iCs/>
          <w:lang w:val="en-GB" w:eastAsia="en-IN"/>
        </w:rPr>
      </w:pPr>
      <w:r w:rsidRPr="0098014D">
        <w:rPr>
          <w:rFonts w:ascii="Book Antiqua" w:hAnsi="Book Antiqua" w:cstheme="minorBidi"/>
          <w:i/>
          <w:iCs/>
          <w:lang w:val="en-GB"/>
        </w:rPr>
        <w:t>*</w:t>
      </w:r>
      <w:r w:rsidRPr="0098014D">
        <w:rPr>
          <w:rFonts w:ascii="Book Antiqua" w:hAnsi="Book Antiqua"/>
          <w:i/>
          <w:iCs/>
          <w:lang w:val="en-GB" w:eastAsia="en-IN"/>
        </w:rPr>
        <w:t xml:space="preserve"> Approved revenue contains revenue from FPPPA charges at Rs. 1.49/unit</w:t>
      </w:r>
    </w:p>
    <w:p w:rsidR="009C77A9" w:rsidRPr="009C77A9" w:rsidRDefault="009C77A9" w:rsidP="005C597E">
      <w:pPr>
        <w:spacing w:after="120" w:line="312" w:lineRule="auto"/>
        <w:ind w:left="630"/>
        <w:jc w:val="both"/>
        <w:rPr>
          <w:rFonts w:ascii="Book Antiqua" w:hAnsi="Book Antiqua"/>
          <w:lang w:val="en-GB" w:eastAsia="en-IN"/>
        </w:rPr>
      </w:pPr>
      <w:r w:rsidRPr="009C77A9">
        <w:rPr>
          <w:rFonts w:ascii="Book Antiqua" w:hAnsi="Book Antiqua"/>
          <w:lang w:val="en-GB" w:eastAsia="en-IN"/>
        </w:rPr>
        <w:t>The rate charged to consumers is in line with tariff order issued by GERC and the FPPPA rate approved by GERC time to time</w:t>
      </w:r>
      <w:r>
        <w:rPr>
          <w:rFonts w:ascii="Book Antiqua" w:hAnsi="Book Antiqua"/>
          <w:lang w:val="en-GB" w:eastAsia="en-IN"/>
        </w:rPr>
        <w:t xml:space="preserve">. </w:t>
      </w:r>
      <w:r w:rsidR="008669EE">
        <w:rPr>
          <w:rFonts w:ascii="Book Antiqua" w:hAnsi="Book Antiqua"/>
          <w:lang w:val="en-GB" w:eastAsia="en-IN"/>
        </w:rPr>
        <w:t xml:space="preserve">The increase in Actual ABR in comparison to the approved ABR of the consumer categories is due the increase in actual FPPPA revenue in FY 2018-19 vis-à-vis FPPPA charge/unit considered by the commission in the Tariff Order. </w:t>
      </w:r>
    </w:p>
    <w:p w:rsidR="008669EE" w:rsidRDefault="008669EE" w:rsidP="008669EE">
      <w:pPr>
        <w:spacing w:after="120" w:line="312" w:lineRule="auto"/>
        <w:ind w:left="567"/>
        <w:jc w:val="both"/>
        <w:rPr>
          <w:rFonts w:ascii="Book Antiqua" w:hAnsi="Book Antiqua"/>
          <w:lang w:val="en-GB" w:eastAsia="en-IN"/>
        </w:rPr>
      </w:pPr>
      <w:r>
        <w:rPr>
          <w:rFonts w:ascii="Book Antiqua" w:hAnsi="Book Antiqua"/>
          <w:lang w:val="en-GB" w:eastAsia="en-IN"/>
        </w:rPr>
        <w:t>UGVCL has received additional subsidy as discussed in ‘Query 2.b’ for sales in agricultural category during FY 2018-19. As a result, the ABR of Agricultural consumer during FY 2018-19 is higher than the approved level.</w:t>
      </w:r>
    </w:p>
    <w:p w:rsidR="00836A3A" w:rsidRPr="008669EE" w:rsidRDefault="008669EE" w:rsidP="005C597E">
      <w:pPr>
        <w:spacing w:after="120" w:line="312" w:lineRule="auto"/>
        <w:ind w:left="630"/>
        <w:jc w:val="both"/>
        <w:rPr>
          <w:rFonts w:ascii="Book Antiqua" w:hAnsi="Book Antiqua"/>
          <w:lang w:val="en-GB" w:eastAsia="en-IN"/>
        </w:rPr>
      </w:pPr>
      <w:r>
        <w:rPr>
          <w:rFonts w:ascii="Book Antiqua" w:hAnsi="Book Antiqua"/>
          <w:lang w:val="en-GB" w:eastAsia="en-IN"/>
        </w:rPr>
        <w:t xml:space="preserve">Regarding Industrial HT Consumer, </w:t>
      </w:r>
      <w:r>
        <w:rPr>
          <w:rFonts w:ascii="Book Antiqua" w:hAnsi="Book Antiqua"/>
          <w:color w:val="000000"/>
        </w:rPr>
        <w:t xml:space="preserve">consumption has significantly increased during FY 2018-19 in comparison to FY 2017-18 due to higher market price in other options like open access, solar, CPP units etc. However, </w:t>
      </w:r>
      <w:bookmarkStart w:id="0" w:name="_Hlk29564675"/>
      <w:r>
        <w:rPr>
          <w:rFonts w:ascii="Book Antiqua" w:hAnsi="Book Antiqua"/>
          <w:color w:val="000000"/>
        </w:rPr>
        <w:t xml:space="preserve">the fixed charges </w:t>
      </w:r>
      <w:bookmarkStart w:id="1" w:name="_Hlk29564737"/>
      <w:r>
        <w:rPr>
          <w:rFonts w:ascii="Book Antiqua" w:hAnsi="Book Antiqua"/>
          <w:color w:val="000000"/>
        </w:rPr>
        <w:t>have remained the same</w:t>
      </w:r>
      <w:bookmarkEnd w:id="0"/>
      <w:r>
        <w:rPr>
          <w:rFonts w:ascii="Book Antiqua" w:hAnsi="Book Antiqua"/>
          <w:color w:val="000000"/>
        </w:rPr>
        <w:t>. Hence, the per unit realisation of fixed charges is reduced. This has reduced the ABR of HT Industrial category.</w:t>
      </w:r>
      <w:bookmarkEnd w:id="1"/>
    </w:p>
    <w:p w:rsidR="00D20D68" w:rsidRPr="00826993" w:rsidRDefault="00D20D68" w:rsidP="000349C9">
      <w:pPr>
        <w:numPr>
          <w:ilvl w:val="0"/>
          <w:numId w:val="3"/>
        </w:numPr>
        <w:spacing w:after="240" w:line="276" w:lineRule="auto"/>
        <w:ind w:left="630" w:hanging="357"/>
        <w:jc w:val="both"/>
        <w:rPr>
          <w:b/>
          <w:bCs/>
          <w:color w:val="000000"/>
        </w:rPr>
      </w:pPr>
      <w:r w:rsidRPr="00826993">
        <w:rPr>
          <w:rFonts w:ascii="Book Antiqua" w:hAnsi="Book Antiqua"/>
          <w:b/>
          <w:bCs/>
          <w:color w:val="000000"/>
        </w:rPr>
        <w:t>UGVCL should justify the higher Distribution Losses of 11.19% as compared to approved Distribution Losses of 9.80%.</w:t>
      </w:r>
    </w:p>
    <w:p w:rsidR="00BC488A" w:rsidRPr="00826993" w:rsidRDefault="00BC488A" w:rsidP="005F4E2F">
      <w:pPr>
        <w:spacing w:after="240"/>
        <w:ind w:left="567"/>
        <w:jc w:val="both"/>
        <w:rPr>
          <w:rFonts w:ascii="Book Antiqua" w:hAnsi="Book Antiqua"/>
          <w:b/>
          <w:bCs/>
        </w:rPr>
      </w:pPr>
      <w:r w:rsidRPr="00826993">
        <w:rPr>
          <w:rFonts w:ascii="Book Antiqua" w:hAnsi="Book Antiqua"/>
          <w:b/>
          <w:bCs/>
        </w:rPr>
        <w:t>Compliance:</w:t>
      </w:r>
      <w:r w:rsidR="00836A3A" w:rsidRPr="00826993">
        <w:rPr>
          <w:rFonts w:ascii="Book Antiqua" w:hAnsi="Book Antiqua"/>
          <w:b/>
          <w:bCs/>
        </w:rPr>
        <w:t xml:space="preserve"> -</w:t>
      </w:r>
    </w:p>
    <w:p w:rsidR="001C1913" w:rsidRDefault="001C1913" w:rsidP="001C1913">
      <w:pPr>
        <w:spacing w:after="240"/>
        <w:ind w:left="567"/>
        <w:jc w:val="both"/>
        <w:rPr>
          <w:rFonts w:ascii="Book Antiqua" w:hAnsi="Book Antiqua"/>
        </w:rPr>
      </w:pPr>
      <w:r w:rsidRPr="002A7580">
        <w:rPr>
          <w:rFonts w:ascii="Book Antiqua" w:hAnsi="Book Antiqua"/>
        </w:rPr>
        <w:lastRenderedPageBreak/>
        <w:t xml:space="preserve">T&amp;D losses </w:t>
      </w:r>
      <w:r w:rsidR="00FF0A35" w:rsidRPr="002A7580">
        <w:rPr>
          <w:rFonts w:ascii="Book Antiqua" w:hAnsi="Book Antiqua"/>
        </w:rPr>
        <w:t>ofNon-</w:t>
      </w:r>
      <w:r w:rsidRPr="002A7580">
        <w:rPr>
          <w:rFonts w:ascii="Book Antiqua" w:hAnsi="Book Antiqua"/>
        </w:rPr>
        <w:t xml:space="preserve"> AG </w:t>
      </w:r>
      <w:r w:rsidR="00FF0A35" w:rsidRPr="002A7580">
        <w:rPr>
          <w:rFonts w:ascii="Book Antiqua" w:hAnsi="Book Antiqua"/>
        </w:rPr>
        <w:t>categories</w:t>
      </w:r>
      <w:r w:rsidR="00FF0A35">
        <w:rPr>
          <w:rFonts w:ascii="Book Antiqua" w:hAnsi="Book Antiqua"/>
        </w:rPr>
        <w:t xml:space="preserve"> feeder has reduced from 6.99%</w:t>
      </w:r>
      <w:r>
        <w:rPr>
          <w:rFonts w:ascii="Book Antiqua" w:hAnsi="Book Antiqua"/>
        </w:rPr>
        <w:t xml:space="preserve"> during FY</w:t>
      </w:r>
      <w:r w:rsidRPr="001C1913">
        <w:rPr>
          <w:rFonts w:ascii="Book Antiqua" w:hAnsi="Book Antiqua"/>
        </w:rPr>
        <w:t xml:space="preserve"> 201</w:t>
      </w:r>
      <w:r w:rsidR="005F053A">
        <w:rPr>
          <w:rFonts w:ascii="Book Antiqua" w:hAnsi="Book Antiqua"/>
        </w:rPr>
        <w:t>7</w:t>
      </w:r>
      <w:r w:rsidRPr="001C1913">
        <w:rPr>
          <w:rFonts w:ascii="Book Antiqua" w:hAnsi="Book Antiqua"/>
        </w:rPr>
        <w:t>-1</w:t>
      </w:r>
      <w:r w:rsidR="005F053A">
        <w:rPr>
          <w:rFonts w:ascii="Book Antiqua" w:hAnsi="Book Antiqua"/>
        </w:rPr>
        <w:t>8</w:t>
      </w:r>
      <w:r>
        <w:rPr>
          <w:rFonts w:ascii="Book Antiqua" w:hAnsi="Book Antiqua"/>
        </w:rPr>
        <w:t xml:space="preserve"> to </w:t>
      </w:r>
      <w:r w:rsidR="00FF0A35">
        <w:rPr>
          <w:rFonts w:ascii="Book Antiqua" w:hAnsi="Book Antiqua"/>
        </w:rPr>
        <w:t>6.22% during FY 201</w:t>
      </w:r>
      <w:r w:rsidR="005F053A">
        <w:rPr>
          <w:rFonts w:ascii="Book Antiqua" w:hAnsi="Book Antiqua"/>
        </w:rPr>
        <w:t>8</w:t>
      </w:r>
      <w:r w:rsidR="00FF0A35">
        <w:rPr>
          <w:rFonts w:ascii="Book Antiqua" w:hAnsi="Book Antiqua"/>
        </w:rPr>
        <w:t>-1</w:t>
      </w:r>
      <w:r w:rsidR="005F053A">
        <w:rPr>
          <w:rFonts w:ascii="Book Antiqua" w:hAnsi="Book Antiqua"/>
        </w:rPr>
        <w:t>9</w:t>
      </w:r>
      <w:r w:rsidR="00FF0A35">
        <w:rPr>
          <w:rFonts w:ascii="Book Antiqua" w:hAnsi="Book Antiqua"/>
        </w:rPr>
        <w:t xml:space="preserve">. i.e. the T&amp;D losses for the agricultural category feeders </w:t>
      </w:r>
      <w:r w:rsidR="00883CF7">
        <w:rPr>
          <w:rFonts w:ascii="Book Antiqua" w:hAnsi="Book Antiqua"/>
        </w:rPr>
        <w:t>has increased</w:t>
      </w:r>
      <w:r w:rsidR="00FF0A35">
        <w:rPr>
          <w:rFonts w:ascii="Book Antiqua" w:hAnsi="Book Antiqua"/>
        </w:rPr>
        <w:t xml:space="preserve"> to </w:t>
      </w:r>
      <w:r w:rsidR="006C3B85">
        <w:rPr>
          <w:rFonts w:ascii="Book Antiqua" w:hAnsi="Book Antiqua"/>
        </w:rPr>
        <w:t xml:space="preserve">14.80% during </w:t>
      </w:r>
      <w:r w:rsidR="00FF0A35">
        <w:rPr>
          <w:rFonts w:ascii="Book Antiqua" w:hAnsi="Book Antiqua"/>
        </w:rPr>
        <w:t xml:space="preserve">FY 2018-19 </w:t>
      </w:r>
      <w:r w:rsidR="006C3B85">
        <w:rPr>
          <w:rFonts w:ascii="Book Antiqua" w:hAnsi="Book Antiqua"/>
        </w:rPr>
        <w:t>in comparison to 8.76% during FY 2017-18.</w:t>
      </w:r>
    </w:p>
    <w:p w:rsidR="001C1913" w:rsidRPr="00150B59" w:rsidRDefault="006C3B85" w:rsidP="001C1913">
      <w:pPr>
        <w:spacing w:after="240"/>
        <w:ind w:left="567"/>
        <w:jc w:val="both"/>
        <w:rPr>
          <w:rFonts w:ascii="Book Antiqua" w:hAnsi="Book Antiqua"/>
        </w:rPr>
      </w:pPr>
      <w:r>
        <w:rPr>
          <w:rFonts w:ascii="Book Antiqua" w:hAnsi="Book Antiqua"/>
        </w:rPr>
        <w:t>Further it</w:t>
      </w:r>
      <w:r w:rsidR="001F5D0B">
        <w:rPr>
          <w:rFonts w:ascii="Book Antiqua" w:hAnsi="Book Antiqua"/>
        </w:rPr>
        <w:t xml:space="preserve"> may </w:t>
      </w:r>
      <w:r>
        <w:rPr>
          <w:rFonts w:ascii="Book Antiqua" w:hAnsi="Book Antiqua"/>
        </w:rPr>
        <w:t xml:space="preserve">be noted that the </w:t>
      </w:r>
      <w:r w:rsidR="001C1913" w:rsidRPr="001C1913">
        <w:rPr>
          <w:rFonts w:ascii="Book Antiqua" w:hAnsi="Book Antiqua"/>
        </w:rPr>
        <w:t>UGVCL is</w:t>
      </w:r>
      <w:r>
        <w:rPr>
          <w:rFonts w:ascii="Book Antiqua" w:hAnsi="Book Antiqua"/>
        </w:rPr>
        <w:t xml:space="preserve"> having</w:t>
      </w:r>
      <w:r w:rsidR="001C1913" w:rsidRPr="001C1913">
        <w:rPr>
          <w:rFonts w:ascii="Book Antiqua" w:hAnsi="Book Antiqua"/>
        </w:rPr>
        <w:t xml:space="preserve"> AG dominant </w:t>
      </w:r>
      <w:r>
        <w:rPr>
          <w:rFonts w:ascii="Book Antiqua" w:hAnsi="Book Antiqua"/>
        </w:rPr>
        <w:t xml:space="preserve">consumer mix </w:t>
      </w:r>
      <w:r w:rsidR="001C1913" w:rsidRPr="001C1913">
        <w:rPr>
          <w:rFonts w:ascii="Book Antiqua" w:hAnsi="Book Antiqua"/>
        </w:rPr>
        <w:t xml:space="preserve">and weightage of AG category of feeder is </w:t>
      </w:r>
      <w:r w:rsidR="005D19A2" w:rsidRPr="00B9373B">
        <w:rPr>
          <w:rFonts w:ascii="Book Antiqua" w:hAnsi="Book Antiqua"/>
        </w:rPr>
        <w:t>42</w:t>
      </w:r>
      <w:r w:rsidR="001C1913" w:rsidRPr="001C1913">
        <w:rPr>
          <w:rFonts w:ascii="Book Antiqua" w:hAnsi="Book Antiqua"/>
        </w:rPr>
        <w:t xml:space="preserve">% in terms of consumption.  </w:t>
      </w:r>
      <w:r w:rsidR="001C1913" w:rsidRPr="00150B59">
        <w:rPr>
          <w:rFonts w:ascii="Book Antiqua" w:hAnsi="Book Antiqua"/>
        </w:rPr>
        <w:t xml:space="preserve">Due to </w:t>
      </w:r>
      <w:r w:rsidR="00001312" w:rsidRPr="00150B59">
        <w:rPr>
          <w:rFonts w:ascii="Book Antiqua" w:hAnsi="Book Antiqua"/>
        </w:rPr>
        <w:t>errant</w:t>
      </w:r>
      <w:r w:rsidR="001C1913" w:rsidRPr="00150B59">
        <w:rPr>
          <w:rFonts w:ascii="Book Antiqua" w:hAnsi="Book Antiqua"/>
        </w:rPr>
        <w:t xml:space="preserve"> rain in the year 2018-19, power </w:t>
      </w:r>
      <w:r w:rsidR="008E4457" w:rsidRPr="00150B59">
        <w:rPr>
          <w:rFonts w:ascii="Book Antiqua" w:hAnsi="Book Antiqua"/>
        </w:rPr>
        <w:t>consumption of</w:t>
      </w:r>
      <w:r w:rsidR="001C1913" w:rsidRPr="00150B59">
        <w:rPr>
          <w:rFonts w:ascii="Book Antiqua" w:hAnsi="Book Antiqua"/>
        </w:rPr>
        <w:t xml:space="preserve"> AG </w:t>
      </w:r>
      <w:r w:rsidR="008E4457" w:rsidRPr="00150B59">
        <w:rPr>
          <w:rFonts w:ascii="Book Antiqua" w:hAnsi="Book Antiqua"/>
        </w:rPr>
        <w:t>category</w:t>
      </w:r>
      <w:r w:rsidR="001C1913" w:rsidRPr="00150B59">
        <w:rPr>
          <w:rFonts w:ascii="Book Antiqua" w:hAnsi="Book Antiqua"/>
        </w:rPr>
        <w:t xml:space="preserve"> was </w:t>
      </w:r>
      <w:r w:rsidR="008E4457" w:rsidRPr="00150B59">
        <w:rPr>
          <w:rFonts w:ascii="Book Antiqua" w:hAnsi="Book Antiqua"/>
        </w:rPr>
        <w:t>schedule</w:t>
      </w:r>
      <w:r w:rsidR="008669EE" w:rsidRPr="00150B59">
        <w:rPr>
          <w:rFonts w:ascii="Book Antiqua" w:hAnsi="Book Antiqua"/>
        </w:rPr>
        <w:t>d</w:t>
      </w:r>
      <w:r w:rsidR="001C1913" w:rsidRPr="00150B59">
        <w:rPr>
          <w:rFonts w:ascii="Book Antiqua" w:hAnsi="Book Antiqua"/>
        </w:rPr>
        <w:t>more than 8 hours. Same is observed as rise in consumption (13.23 %) for the meter</w:t>
      </w:r>
      <w:r w:rsidR="00B70940" w:rsidRPr="00150B59">
        <w:rPr>
          <w:rFonts w:ascii="Book Antiqua" w:hAnsi="Book Antiqua"/>
        </w:rPr>
        <w:t>ed</w:t>
      </w:r>
      <w:r w:rsidR="001C1913" w:rsidRPr="00150B59">
        <w:rPr>
          <w:rFonts w:ascii="Book Antiqua" w:hAnsi="Book Antiqua"/>
        </w:rPr>
        <w:t xml:space="preserve"> tariff AG consumers</w:t>
      </w:r>
      <w:r w:rsidR="00883CF7" w:rsidRPr="00150B59">
        <w:rPr>
          <w:rFonts w:ascii="Book Antiqua" w:hAnsi="Book Antiqua"/>
        </w:rPr>
        <w:t xml:space="preserve"> in table</w:t>
      </w:r>
      <w:r w:rsidR="008669EE" w:rsidRPr="00150B59">
        <w:rPr>
          <w:rFonts w:ascii="Book Antiqua" w:hAnsi="Book Antiqua"/>
        </w:rPr>
        <w:t xml:space="preserve"> below</w:t>
      </w:r>
      <w:r w:rsidR="001C1913" w:rsidRPr="00150B59">
        <w:rPr>
          <w:rFonts w:ascii="Book Antiqua" w:hAnsi="Book Antiqua"/>
        </w:rPr>
        <w:t xml:space="preserve">. </w:t>
      </w:r>
    </w:p>
    <w:tbl>
      <w:tblPr>
        <w:tblW w:w="10173" w:type="dxa"/>
        <w:tblLayout w:type="fixed"/>
        <w:tblLook w:val="04A0"/>
      </w:tblPr>
      <w:tblGrid>
        <w:gridCol w:w="961"/>
        <w:gridCol w:w="730"/>
        <w:gridCol w:w="1152"/>
        <w:gridCol w:w="1472"/>
        <w:gridCol w:w="778"/>
        <w:gridCol w:w="1104"/>
        <w:gridCol w:w="1472"/>
        <w:gridCol w:w="1370"/>
        <w:gridCol w:w="1134"/>
      </w:tblGrid>
      <w:tr w:rsidR="004C5474" w:rsidRPr="00EA5B42" w:rsidTr="00930F33">
        <w:trPr>
          <w:trHeight w:val="581"/>
        </w:trPr>
        <w:tc>
          <w:tcPr>
            <w:tcW w:w="961" w:type="dxa"/>
            <w:vMerge w:val="restart"/>
            <w:tcBorders>
              <w:top w:val="single" w:sz="8" w:space="0" w:color="auto"/>
              <w:left w:val="single" w:sz="8" w:space="0" w:color="auto"/>
              <w:bottom w:val="single" w:sz="8" w:space="0" w:color="000000"/>
              <w:right w:val="single" w:sz="4" w:space="0" w:color="000000"/>
            </w:tcBorders>
            <w:shd w:val="clear" w:color="auto" w:fill="FABF8F" w:themeFill="accent6" w:themeFillTint="99"/>
            <w:vAlign w:val="center"/>
            <w:hideMark/>
          </w:tcPr>
          <w:p w:rsidR="004C5474" w:rsidRPr="00EA5B42" w:rsidRDefault="004C5E50" w:rsidP="00E60EED">
            <w:pPr>
              <w:jc w:val="center"/>
              <w:rPr>
                <w:rFonts w:ascii="Book Antiqua" w:hAnsi="Book Antiqua" w:cs="Arial"/>
                <w:b/>
                <w:bCs/>
                <w:color w:val="000000"/>
                <w:sz w:val="20"/>
                <w:szCs w:val="20"/>
                <w:lang w:eastAsia="en-IN" w:bidi="gu-IN"/>
              </w:rPr>
            </w:pPr>
            <w:r>
              <w:rPr>
                <w:rFonts w:ascii="Book Antiqua" w:hAnsi="Book Antiqua" w:cs="Arial"/>
                <w:b/>
                <w:bCs/>
                <w:color w:val="000000"/>
                <w:sz w:val="20"/>
                <w:szCs w:val="20"/>
                <w:lang w:eastAsia="en-IN" w:bidi="gu-IN"/>
              </w:rPr>
              <w:t>Discom</w:t>
            </w:r>
          </w:p>
        </w:tc>
        <w:tc>
          <w:tcPr>
            <w:tcW w:w="3354" w:type="dxa"/>
            <w:gridSpan w:val="3"/>
            <w:tcBorders>
              <w:top w:val="single" w:sz="8" w:space="0" w:color="auto"/>
              <w:left w:val="nil"/>
              <w:bottom w:val="single" w:sz="4" w:space="0" w:color="000000"/>
              <w:right w:val="single" w:sz="4" w:space="0" w:color="000000"/>
            </w:tcBorders>
            <w:shd w:val="clear" w:color="auto" w:fill="FABF8F" w:themeFill="accent6" w:themeFillTint="99"/>
            <w:vAlign w:val="center"/>
            <w:hideMark/>
          </w:tcPr>
          <w:p w:rsidR="004C5474" w:rsidRPr="00EA5B42" w:rsidRDefault="004C5474" w:rsidP="00E60EED">
            <w:pPr>
              <w:jc w:val="center"/>
              <w:rPr>
                <w:rFonts w:ascii="Book Antiqua" w:hAnsi="Book Antiqua" w:cs="Arial"/>
                <w:b/>
                <w:bCs/>
                <w:color w:val="000000"/>
                <w:sz w:val="20"/>
                <w:szCs w:val="20"/>
                <w:lang w:eastAsia="en-IN" w:bidi="gu-IN"/>
              </w:rPr>
            </w:pPr>
            <w:r w:rsidRPr="00EA5B42">
              <w:rPr>
                <w:rFonts w:ascii="Book Antiqua" w:hAnsi="Book Antiqua" w:cs="Arial"/>
                <w:b/>
                <w:bCs/>
                <w:color w:val="000000"/>
                <w:sz w:val="20"/>
                <w:szCs w:val="20"/>
                <w:lang w:eastAsia="en-IN" w:bidi="gu-IN"/>
              </w:rPr>
              <w:t xml:space="preserve">FY: April-17 to March-18 </w:t>
            </w:r>
          </w:p>
        </w:tc>
        <w:tc>
          <w:tcPr>
            <w:tcW w:w="3354" w:type="dxa"/>
            <w:gridSpan w:val="3"/>
            <w:tcBorders>
              <w:top w:val="single" w:sz="8" w:space="0" w:color="auto"/>
              <w:left w:val="nil"/>
              <w:bottom w:val="single" w:sz="4" w:space="0" w:color="000000"/>
              <w:right w:val="single" w:sz="4" w:space="0" w:color="000000"/>
            </w:tcBorders>
            <w:shd w:val="clear" w:color="auto" w:fill="FABF8F" w:themeFill="accent6" w:themeFillTint="99"/>
            <w:vAlign w:val="center"/>
            <w:hideMark/>
          </w:tcPr>
          <w:p w:rsidR="004C5474" w:rsidRPr="00EA5B42" w:rsidRDefault="004C5474" w:rsidP="00E60EED">
            <w:pPr>
              <w:jc w:val="center"/>
              <w:rPr>
                <w:rFonts w:ascii="Book Antiqua" w:hAnsi="Book Antiqua" w:cs="Arial"/>
                <w:b/>
                <w:bCs/>
                <w:color w:val="000000"/>
                <w:sz w:val="20"/>
                <w:szCs w:val="20"/>
                <w:lang w:eastAsia="en-IN" w:bidi="gu-IN"/>
              </w:rPr>
            </w:pPr>
            <w:r w:rsidRPr="00EA5B42">
              <w:rPr>
                <w:rFonts w:ascii="Book Antiqua" w:hAnsi="Book Antiqua" w:cs="Arial"/>
                <w:b/>
                <w:bCs/>
                <w:color w:val="000000"/>
                <w:sz w:val="20"/>
                <w:szCs w:val="20"/>
                <w:lang w:eastAsia="en-IN" w:bidi="gu-IN"/>
              </w:rPr>
              <w:t xml:space="preserve">FY: April-18 to March-19 </w:t>
            </w:r>
          </w:p>
        </w:tc>
        <w:tc>
          <w:tcPr>
            <w:tcW w:w="1370" w:type="dxa"/>
            <w:vMerge w:val="restart"/>
            <w:tcBorders>
              <w:top w:val="single" w:sz="8" w:space="0" w:color="auto"/>
              <w:left w:val="single" w:sz="4" w:space="0" w:color="000000"/>
              <w:bottom w:val="single" w:sz="8" w:space="0" w:color="000000"/>
              <w:right w:val="single" w:sz="4" w:space="0" w:color="000000"/>
            </w:tcBorders>
            <w:shd w:val="clear" w:color="auto" w:fill="FABF8F" w:themeFill="accent6" w:themeFillTint="99"/>
            <w:vAlign w:val="center"/>
            <w:hideMark/>
          </w:tcPr>
          <w:p w:rsidR="004C5474" w:rsidRPr="00EA5B42" w:rsidRDefault="004C5474" w:rsidP="00E60EED">
            <w:pPr>
              <w:jc w:val="center"/>
              <w:rPr>
                <w:rFonts w:ascii="Book Antiqua" w:hAnsi="Book Antiqua" w:cs="Arial"/>
                <w:b/>
                <w:bCs/>
                <w:color w:val="000000"/>
                <w:sz w:val="20"/>
                <w:szCs w:val="20"/>
                <w:lang w:eastAsia="en-IN" w:bidi="gu-IN"/>
              </w:rPr>
            </w:pPr>
            <w:r w:rsidRPr="00EA5B42">
              <w:rPr>
                <w:rFonts w:ascii="Book Antiqua" w:hAnsi="Book Antiqua" w:cs="Arial"/>
                <w:b/>
                <w:bCs/>
                <w:color w:val="000000"/>
                <w:sz w:val="20"/>
                <w:szCs w:val="20"/>
                <w:lang w:eastAsia="en-IN" w:bidi="gu-IN"/>
              </w:rPr>
              <w:t xml:space="preserve"> Difference (Per HP Consumption)</w:t>
            </w:r>
          </w:p>
        </w:tc>
        <w:tc>
          <w:tcPr>
            <w:tcW w:w="1134" w:type="dxa"/>
            <w:vMerge w:val="restart"/>
            <w:tcBorders>
              <w:top w:val="single" w:sz="8" w:space="0" w:color="auto"/>
              <w:left w:val="single" w:sz="4" w:space="0" w:color="000000"/>
              <w:bottom w:val="single" w:sz="8" w:space="0" w:color="000000"/>
              <w:right w:val="single" w:sz="8" w:space="0" w:color="auto"/>
            </w:tcBorders>
            <w:shd w:val="clear" w:color="auto" w:fill="FABF8F" w:themeFill="accent6" w:themeFillTint="99"/>
            <w:vAlign w:val="center"/>
            <w:hideMark/>
          </w:tcPr>
          <w:p w:rsidR="004C5474" w:rsidRPr="00EA5B42" w:rsidRDefault="004C5474" w:rsidP="00E60EED">
            <w:pPr>
              <w:jc w:val="center"/>
              <w:rPr>
                <w:rFonts w:ascii="Book Antiqua" w:hAnsi="Book Antiqua" w:cs="Arial"/>
                <w:b/>
                <w:bCs/>
                <w:color w:val="000000"/>
                <w:sz w:val="20"/>
                <w:szCs w:val="20"/>
                <w:lang w:eastAsia="en-IN" w:bidi="gu-IN"/>
              </w:rPr>
            </w:pPr>
            <w:r w:rsidRPr="00EA5B42">
              <w:rPr>
                <w:rFonts w:ascii="Book Antiqua" w:hAnsi="Book Antiqua" w:cs="Arial"/>
                <w:b/>
                <w:bCs/>
                <w:color w:val="000000"/>
                <w:sz w:val="20"/>
                <w:szCs w:val="20"/>
                <w:lang w:eastAsia="en-IN" w:bidi="gu-IN"/>
              </w:rPr>
              <w:t>%Rise</w:t>
            </w:r>
          </w:p>
        </w:tc>
      </w:tr>
      <w:tr w:rsidR="004C5474" w:rsidRPr="00EA5B42" w:rsidTr="002C4432">
        <w:trPr>
          <w:trHeight w:val="1048"/>
        </w:trPr>
        <w:tc>
          <w:tcPr>
            <w:tcW w:w="961" w:type="dxa"/>
            <w:vMerge/>
            <w:tcBorders>
              <w:top w:val="single" w:sz="8" w:space="0" w:color="auto"/>
              <w:left w:val="single" w:sz="8" w:space="0" w:color="auto"/>
              <w:bottom w:val="single" w:sz="8" w:space="0" w:color="000000"/>
              <w:right w:val="single" w:sz="4" w:space="0" w:color="000000"/>
            </w:tcBorders>
            <w:shd w:val="clear" w:color="auto" w:fill="FABF8F" w:themeFill="accent6" w:themeFillTint="99"/>
            <w:vAlign w:val="center"/>
            <w:hideMark/>
          </w:tcPr>
          <w:p w:rsidR="004C5474" w:rsidRPr="00EA5B42" w:rsidRDefault="004C5474" w:rsidP="00E60EED">
            <w:pPr>
              <w:rPr>
                <w:rFonts w:ascii="Book Antiqua" w:hAnsi="Book Antiqua" w:cs="Arial"/>
                <w:b/>
                <w:bCs/>
                <w:color w:val="000000"/>
                <w:sz w:val="20"/>
                <w:szCs w:val="20"/>
                <w:lang w:eastAsia="en-IN" w:bidi="gu-IN"/>
              </w:rPr>
            </w:pPr>
          </w:p>
        </w:tc>
        <w:tc>
          <w:tcPr>
            <w:tcW w:w="730" w:type="dxa"/>
            <w:tcBorders>
              <w:top w:val="nil"/>
              <w:left w:val="nil"/>
              <w:bottom w:val="single" w:sz="8" w:space="0" w:color="auto"/>
              <w:right w:val="single" w:sz="4" w:space="0" w:color="000000"/>
            </w:tcBorders>
            <w:shd w:val="clear" w:color="auto" w:fill="FABF8F" w:themeFill="accent6" w:themeFillTint="99"/>
            <w:vAlign w:val="center"/>
            <w:hideMark/>
          </w:tcPr>
          <w:p w:rsidR="004C5474" w:rsidRPr="00EA5B42" w:rsidRDefault="004C5474" w:rsidP="00E60EED">
            <w:pPr>
              <w:jc w:val="center"/>
              <w:rPr>
                <w:rFonts w:ascii="Book Antiqua" w:hAnsi="Book Antiqua" w:cs="Arial"/>
                <w:b/>
                <w:bCs/>
                <w:color w:val="000000"/>
                <w:sz w:val="20"/>
                <w:szCs w:val="20"/>
                <w:lang w:eastAsia="en-IN" w:bidi="gu-IN"/>
              </w:rPr>
            </w:pPr>
            <w:r w:rsidRPr="00EA5B42">
              <w:rPr>
                <w:rFonts w:ascii="Book Antiqua" w:hAnsi="Book Antiqua" w:cs="Arial"/>
                <w:b/>
                <w:bCs/>
                <w:color w:val="000000"/>
                <w:sz w:val="20"/>
                <w:szCs w:val="20"/>
                <w:lang w:eastAsia="en-IN" w:bidi="gu-IN"/>
              </w:rPr>
              <w:t xml:space="preserve">MUs </w:t>
            </w:r>
          </w:p>
        </w:tc>
        <w:tc>
          <w:tcPr>
            <w:tcW w:w="1152" w:type="dxa"/>
            <w:tcBorders>
              <w:top w:val="nil"/>
              <w:left w:val="nil"/>
              <w:bottom w:val="single" w:sz="8" w:space="0" w:color="auto"/>
              <w:right w:val="single" w:sz="4" w:space="0" w:color="000000"/>
            </w:tcBorders>
            <w:shd w:val="clear" w:color="auto" w:fill="FABF8F" w:themeFill="accent6" w:themeFillTint="99"/>
            <w:vAlign w:val="center"/>
            <w:hideMark/>
          </w:tcPr>
          <w:p w:rsidR="004C5474" w:rsidRPr="00EA5B42" w:rsidRDefault="004C5474" w:rsidP="00E60EED">
            <w:pPr>
              <w:jc w:val="center"/>
              <w:rPr>
                <w:rFonts w:ascii="Book Antiqua" w:hAnsi="Book Antiqua" w:cs="Arial"/>
                <w:b/>
                <w:bCs/>
                <w:color w:val="000000"/>
                <w:sz w:val="20"/>
                <w:szCs w:val="20"/>
                <w:lang w:eastAsia="en-IN" w:bidi="gu-IN"/>
              </w:rPr>
            </w:pPr>
            <w:r w:rsidRPr="00EA5B42">
              <w:rPr>
                <w:rFonts w:ascii="Book Antiqua" w:hAnsi="Book Antiqua" w:cs="Arial"/>
                <w:b/>
                <w:bCs/>
                <w:color w:val="000000"/>
                <w:sz w:val="20"/>
                <w:szCs w:val="20"/>
                <w:lang w:eastAsia="en-IN" w:bidi="gu-IN"/>
              </w:rPr>
              <w:t xml:space="preserve">HP </w:t>
            </w:r>
          </w:p>
        </w:tc>
        <w:tc>
          <w:tcPr>
            <w:tcW w:w="1472" w:type="dxa"/>
            <w:tcBorders>
              <w:top w:val="nil"/>
              <w:left w:val="nil"/>
              <w:bottom w:val="single" w:sz="8" w:space="0" w:color="auto"/>
              <w:right w:val="single" w:sz="4" w:space="0" w:color="000000"/>
            </w:tcBorders>
            <w:shd w:val="clear" w:color="auto" w:fill="FABF8F" w:themeFill="accent6" w:themeFillTint="99"/>
            <w:vAlign w:val="center"/>
            <w:hideMark/>
          </w:tcPr>
          <w:p w:rsidR="004C5474" w:rsidRPr="00EA5B42" w:rsidRDefault="004C5474" w:rsidP="00E60EED">
            <w:pPr>
              <w:jc w:val="center"/>
              <w:rPr>
                <w:rFonts w:ascii="Book Antiqua" w:hAnsi="Book Antiqua" w:cs="Arial"/>
                <w:b/>
                <w:bCs/>
                <w:color w:val="000000"/>
                <w:sz w:val="20"/>
                <w:szCs w:val="20"/>
                <w:lang w:eastAsia="en-IN" w:bidi="gu-IN"/>
              </w:rPr>
            </w:pPr>
            <w:r w:rsidRPr="00EA5B42">
              <w:rPr>
                <w:rFonts w:ascii="Book Antiqua" w:hAnsi="Book Antiqua" w:cs="Arial"/>
                <w:b/>
                <w:bCs/>
                <w:color w:val="000000"/>
                <w:sz w:val="20"/>
                <w:szCs w:val="20"/>
                <w:lang w:eastAsia="en-IN" w:bidi="gu-IN"/>
              </w:rPr>
              <w:t xml:space="preserve">Monthly Per HP Consumption </w:t>
            </w:r>
          </w:p>
        </w:tc>
        <w:tc>
          <w:tcPr>
            <w:tcW w:w="778" w:type="dxa"/>
            <w:tcBorders>
              <w:top w:val="nil"/>
              <w:left w:val="nil"/>
              <w:bottom w:val="single" w:sz="8" w:space="0" w:color="auto"/>
              <w:right w:val="single" w:sz="4" w:space="0" w:color="000000"/>
            </w:tcBorders>
            <w:shd w:val="clear" w:color="auto" w:fill="FABF8F" w:themeFill="accent6" w:themeFillTint="99"/>
            <w:vAlign w:val="center"/>
            <w:hideMark/>
          </w:tcPr>
          <w:p w:rsidR="004C5474" w:rsidRPr="00EA5B42" w:rsidRDefault="004C5474" w:rsidP="00E60EED">
            <w:pPr>
              <w:jc w:val="center"/>
              <w:rPr>
                <w:rFonts w:ascii="Book Antiqua" w:hAnsi="Book Antiqua" w:cs="Arial"/>
                <w:b/>
                <w:bCs/>
                <w:color w:val="000000"/>
                <w:sz w:val="20"/>
                <w:szCs w:val="20"/>
                <w:lang w:eastAsia="en-IN" w:bidi="gu-IN"/>
              </w:rPr>
            </w:pPr>
            <w:r w:rsidRPr="00EA5B42">
              <w:rPr>
                <w:rFonts w:ascii="Book Antiqua" w:hAnsi="Book Antiqua" w:cs="Arial"/>
                <w:b/>
                <w:bCs/>
                <w:color w:val="000000"/>
                <w:sz w:val="20"/>
                <w:szCs w:val="20"/>
                <w:lang w:eastAsia="en-IN" w:bidi="gu-IN"/>
              </w:rPr>
              <w:t xml:space="preserve">MUs </w:t>
            </w:r>
          </w:p>
        </w:tc>
        <w:tc>
          <w:tcPr>
            <w:tcW w:w="1104" w:type="dxa"/>
            <w:tcBorders>
              <w:top w:val="nil"/>
              <w:left w:val="nil"/>
              <w:bottom w:val="single" w:sz="8" w:space="0" w:color="auto"/>
              <w:right w:val="single" w:sz="4" w:space="0" w:color="000000"/>
            </w:tcBorders>
            <w:shd w:val="clear" w:color="auto" w:fill="FABF8F" w:themeFill="accent6" w:themeFillTint="99"/>
            <w:vAlign w:val="center"/>
            <w:hideMark/>
          </w:tcPr>
          <w:p w:rsidR="004C5474" w:rsidRPr="00EA5B42" w:rsidRDefault="004C5474" w:rsidP="00E60EED">
            <w:pPr>
              <w:jc w:val="center"/>
              <w:rPr>
                <w:rFonts w:ascii="Book Antiqua" w:hAnsi="Book Antiqua" w:cs="Arial"/>
                <w:b/>
                <w:bCs/>
                <w:color w:val="000000"/>
                <w:sz w:val="20"/>
                <w:szCs w:val="20"/>
                <w:lang w:eastAsia="en-IN" w:bidi="gu-IN"/>
              </w:rPr>
            </w:pPr>
            <w:r w:rsidRPr="00EA5B42">
              <w:rPr>
                <w:rFonts w:ascii="Book Antiqua" w:hAnsi="Book Antiqua" w:cs="Arial"/>
                <w:b/>
                <w:bCs/>
                <w:color w:val="000000"/>
                <w:sz w:val="20"/>
                <w:szCs w:val="20"/>
                <w:lang w:eastAsia="en-IN" w:bidi="gu-IN"/>
              </w:rPr>
              <w:t xml:space="preserve">HP </w:t>
            </w:r>
          </w:p>
        </w:tc>
        <w:tc>
          <w:tcPr>
            <w:tcW w:w="1472" w:type="dxa"/>
            <w:tcBorders>
              <w:top w:val="nil"/>
              <w:left w:val="nil"/>
              <w:bottom w:val="single" w:sz="8" w:space="0" w:color="auto"/>
              <w:right w:val="single" w:sz="4" w:space="0" w:color="000000"/>
            </w:tcBorders>
            <w:shd w:val="clear" w:color="auto" w:fill="FABF8F" w:themeFill="accent6" w:themeFillTint="99"/>
            <w:vAlign w:val="center"/>
            <w:hideMark/>
          </w:tcPr>
          <w:p w:rsidR="004C5474" w:rsidRPr="00EA5B42" w:rsidRDefault="004C5474" w:rsidP="00E60EED">
            <w:pPr>
              <w:jc w:val="center"/>
              <w:rPr>
                <w:rFonts w:ascii="Book Antiqua" w:hAnsi="Book Antiqua" w:cs="Arial"/>
                <w:b/>
                <w:bCs/>
                <w:color w:val="000000"/>
                <w:sz w:val="20"/>
                <w:szCs w:val="20"/>
                <w:lang w:eastAsia="en-IN" w:bidi="gu-IN"/>
              </w:rPr>
            </w:pPr>
            <w:r w:rsidRPr="00EA5B42">
              <w:rPr>
                <w:rFonts w:ascii="Book Antiqua" w:hAnsi="Book Antiqua" w:cs="Arial"/>
                <w:b/>
                <w:bCs/>
                <w:color w:val="000000"/>
                <w:sz w:val="20"/>
                <w:szCs w:val="20"/>
                <w:lang w:eastAsia="en-IN" w:bidi="gu-IN"/>
              </w:rPr>
              <w:t xml:space="preserve">Monthly Per HP Consumption </w:t>
            </w:r>
          </w:p>
        </w:tc>
        <w:tc>
          <w:tcPr>
            <w:tcW w:w="1370" w:type="dxa"/>
            <w:vMerge/>
            <w:tcBorders>
              <w:top w:val="single" w:sz="8" w:space="0" w:color="auto"/>
              <w:left w:val="single" w:sz="4" w:space="0" w:color="000000"/>
              <w:bottom w:val="single" w:sz="8" w:space="0" w:color="000000"/>
              <w:right w:val="single" w:sz="4" w:space="0" w:color="000000"/>
            </w:tcBorders>
            <w:shd w:val="clear" w:color="auto" w:fill="FABF8F" w:themeFill="accent6" w:themeFillTint="99"/>
            <w:vAlign w:val="center"/>
            <w:hideMark/>
          </w:tcPr>
          <w:p w:rsidR="004C5474" w:rsidRPr="00EA5B42" w:rsidRDefault="004C5474" w:rsidP="00E60EED">
            <w:pPr>
              <w:rPr>
                <w:rFonts w:ascii="Book Antiqua" w:hAnsi="Book Antiqua" w:cs="Arial"/>
                <w:b/>
                <w:bCs/>
                <w:color w:val="000000"/>
                <w:sz w:val="20"/>
                <w:szCs w:val="20"/>
                <w:lang w:eastAsia="en-IN" w:bidi="gu-IN"/>
              </w:rPr>
            </w:pPr>
          </w:p>
        </w:tc>
        <w:tc>
          <w:tcPr>
            <w:tcW w:w="1134" w:type="dxa"/>
            <w:vMerge/>
            <w:tcBorders>
              <w:top w:val="single" w:sz="8" w:space="0" w:color="auto"/>
              <w:left w:val="single" w:sz="4" w:space="0" w:color="000000"/>
              <w:bottom w:val="single" w:sz="8" w:space="0" w:color="000000"/>
              <w:right w:val="single" w:sz="8" w:space="0" w:color="auto"/>
            </w:tcBorders>
            <w:shd w:val="clear" w:color="auto" w:fill="FABF8F" w:themeFill="accent6" w:themeFillTint="99"/>
            <w:vAlign w:val="center"/>
            <w:hideMark/>
          </w:tcPr>
          <w:p w:rsidR="004C5474" w:rsidRPr="00EA5B42" w:rsidRDefault="004C5474" w:rsidP="00E60EED">
            <w:pPr>
              <w:rPr>
                <w:rFonts w:ascii="Book Antiqua" w:hAnsi="Book Antiqua" w:cs="Arial"/>
                <w:b/>
                <w:bCs/>
                <w:color w:val="000000"/>
                <w:sz w:val="20"/>
                <w:szCs w:val="20"/>
                <w:lang w:eastAsia="en-IN" w:bidi="gu-IN"/>
              </w:rPr>
            </w:pPr>
          </w:p>
        </w:tc>
      </w:tr>
      <w:tr w:rsidR="004C5474" w:rsidRPr="00EA5B42" w:rsidTr="002C4432">
        <w:trPr>
          <w:trHeight w:val="478"/>
        </w:trPr>
        <w:tc>
          <w:tcPr>
            <w:tcW w:w="961" w:type="dxa"/>
            <w:tcBorders>
              <w:top w:val="nil"/>
              <w:left w:val="single" w:sz="8" w:space="0" w:color="auto"/>
              <w:bottom w:val="single" w:sz="8" w:space="0" w:color="auto"/>
              <w:right w:val="single" w:sz="4" w:space="0" w:color="000000"/>
            </w:tcBorders>
            <w:shd w:val="clear" w:color="000000" w:fill="FFFFFF"/>
            <w:vAlign w:val="center"/>
            <w:hideMark/>
          </w:tcPr>
          <w:p w:rsidR="004C5474" w:rsidRPr="00EA5B42" w:rsidRDefault="004C5474" w:rsidP="00770C14">
            <w:pPr>
              <w:jc w:val="center"/>
              <w:rPr>
                <w:rFonts w:ascii="Book Antiqua" w:hAnsi="Book Antiqua" w:cs="Arial"/>
                <w:b/>
                <w:bCs/>
                <w:color w:val="000000"/>
                <w:sz w:val="20"/>
                <w:szCs w:val="20"/>
                <w:lang w:eastAsia="en-IN" w:bidi="gu-IN"/>
              </w:rPr>
            </w:pPr>
            <w:r w:rsidRPr="00EA5B42">
              <w:rPr>
                <w:rFonts w:ascii="Book Antiqua" w:hAnsi="Book Antiqua" w:cs="Arial"/>
                <w:b/>
                <w:bCs/>
                <w:color w:val="000000"/>
                <w:sz w:val="20"/>
                <w:szCs w:val="20"/>
                <w:lang w:eastAsia="en-IN" w:bidi="gu-IN"/>
              </w:rPr>
              <w:t>1</w:t>
            </w:r>
          </w:p>
        </w:tc>
        <w:tc>
          <w:tcPr>
            <w:tcW w:w="730" w:type="dxa"/>
            <w:tcBorders>
              <w:top w:val="nil"/>
              <w:left w:val="nil"/>
              <w:bottom w:val="single" w:sz="8" w:space="0" w:color="auto"/>
              <w:right w:val="single" w:sz="4" w:space="0" w:color="000000"/>
            </w:tcBorders>
            <w:shd w:val="clear" w:color="000000" w:fill="FFFFFF"/>
            <w:vAlign w:val="center"/>
            <w:hideMark/>
          </w:tcPr>
          <w:p w:rsidR="004C5474" w:rsidRPr="00EA5B42" w:rsidRDefault="004C5474" w:rsidP="00770C14">
            <w:pPr>
              <w:jc w:val="center"/>
              <w:rPr>
                <w:rFonts w:ascii="Book Antiqua" w:hAnsi="Book Antiqua" w:cs="Arial"/>
                <w:b/>
                <w:bCs/>
                <w:color w:val="000000"/>
                <w:sz w:val="20"/>
                <w:szCs w:val="20"/>
                <w:lang w:eastAsia="en-IN" w:bidi="gu-IN"/>
              </w:rPr>
            </w:pPr>
            <w:r w:rsidRPr="00EA5B42">
              <w:rPr>
                <w:rFonts w:ascii="Book Antiqua" w:hAnsi="Book Antiqua" w:cs="Arial"/>
                <w:b/>
                <w:bCs/>
                <w:color w:val="000000"/>
                <w:sz w:val="20"/>
                <w:szCs w:val="20"/>
                <w:lang w:eastAsia="en-IN" w:bidi="gu-IN"/>
              </w:rPr>
              <w:t>2</w:t>
            </w:r>
          </w:p>
        </w:tc>
        <w:tc>
          <w:tcPr>
            <w:tcW w:w="1152" w:type="dxa"/>
            <w:tcBorders>
              <w:top w:val="nil"/>
              <w:left w:val="nil"/>
              <w:bottom w:val="single" w:sz="8" w:space="0" w:color="auto"/>
              <w:right w:val="single" w:sz="4" w:space="0" w:color="000000"/>
            </w:tcBorders>
            <w:shd w:val="clear" w:color="000000" w:fill="FFFFFF"/>
            <w:vAlign w:val="center"/>
            <w:hideMark/>
          </w:tcPr>
          <w:p w:rsidR="004C5474" w:rsidRPr="00EA5B42" w:rsidRDefault="004C5474" w:rsidP="00770C14">
            <w:pPr>
              <w:jc w:val="center"/>
              <w:rPr>
                <w:rFonts w:ascii="Book Antiqua" w:hAnsi="Book Antiqua" w:cs="Arial"/>
                <w:b/>
                <w:bCs/>
                <w:color w:val="000000"/>
                <w:sz w:val="20"/>
                <w:szCs w:val="20"/>
                <w:lang w:eastAsia="en-IN" w:bidi="gu-IN"/>
              </w:rPr>
            </w:pPr>
            <w:r w:rsidRPr="00EA5B42">
              <w:rPr>
                <w:rFonts w:ascii="Book Antiqua" w:hAnsi="Book Antiqua" w:cs="Arial"/>
                <w:b/>
                <w:bCs/>
                <w:color w:val="000000"/>
                <w:sz w:val="20"/>
                <w:szCs w:val="20"/>
                <w:lang w:eastAsia="en-IN" w:bidi="gu-IN"/>
              </w:rPr>
              <w:t>3</w:t>
            </w:r>
          </w:p>
        </w:tc>
        <w:tc>
          <w:tcPr>
            <w:tcW w:w="1472" w:type="dxa"/>
            <w:tcBorders>
              <w:top w:val="nil"/>
              <w:left w:val="nil"/>
              <w:bottom w:val="single" w:sz="8" w:space="0" w:color="auto"/>
              <w:right w:val="single" w:sz="4" w:space="0" w:color="000000"/>
            </w:tcBorders>
            <w:shd w:val="clear" w:color="000000" w:fill="FFFFFF"/>
            <w:vAlign w:val="center"/>
            <w:hideMark/>
          </w:tcPr>
          <w:p w:rsidR="004C5474" w:rsidRPr="00EA5B42" w:rsidRDefault="004C5474" w:rsidP="00770C14">
            <w:pPr>
              <w:jc w:val="center"/>
              <w:rPr>
                <w:rFonts w:ascii="Book Antiqua" w:hAnsi="Book Antiqua" w:cs="Arial"/>
                <w:b/>
                <w:bCs/>
                <w:color w:val="000000"/>
                <w:sz w:val="20"/>
                <w:szCs w:val="20"/>
                <w:lang w:eastAsia="en-IN" w:bidi="gu-IN"/>
              </w:rPr>
            </w:pPr>
            <w:r w:rsidRPr="00EA5B42">
              <w:rPr>
                <w:rFonts w:ascii="Book Antiqua" w:hAnsi="Book Antiqua" w:cs="Arial"/>
                <w:b/>
                <w:bCs/>
                <w:color w:val="000000"/>
                <w:sz w:val="20"/>
                <w:szCs w:val="20"/>
                <w:lang w:eastAsia="en-IN" w:bidi="gu-IN"/>
              </w:rPr>
              <w:t>4=2/3*10^6</w:t>
            </w:r>
          </w:p>
        </w:tc>
        <w:tc>
          <w:tcPr>
            <w:tcW w:w="778" w:type="dxa"/>
            <w:tcBorders>
              <w:top w:val="nil"/>
              <w:left w:val="nil"/>
              <w:bottom w:val="single" w:sz="8" w:space="0" w:color="auto"/>
              <w:right w:val="single" w:sz="4" w:space="0" w:color="000000"/>
            </w:tcBorders>
            <w:shd w:val="clear" w:color="000000" w:fill="FFFFFF"/>
            <w:vAlign w:val="center"/>
            <w:hideMark/>
          </w:tcPr>
          <w:p w:rsidR="004C5474" w:rsidRPr="00EA5B42" w:rsidRDefault="004C5474" w:rsidP="00770C14">
            <w:pPr>
              <w:jc w:val="center"/>
              <w:rPr>
                <w:rFonts w:ascii="Book Antiqua" w:hAnsi="Book Antiqua" w:cs="Arial"/>
                <w:b/>
                <w:bCs/>
                <w:color w:val="000000"/>
                <w:sz w:val="20"/>
                <w:szCs w:val="20"/>
                <w:lang w:eastAsia="en-IN" w:bidi="gu-IN"/>
              </w:rPr>
            </w:pPr>
            <w:r w:rsidRPr="00EA5B42">
              <w:rPr>
                <w:rFonts w:ascii="Book Antiqua" w:hAnsi="Book Antiqua" w:cs="Arial"/>
                <w:b/>
                <w:bCs/>
                <w:color w:val="000000"/>
                <w:sz w:val="20"/>
                <w:szCs w:val="20"/>
                <w:lang w:eastAsia="en-IN" w:bidi="gu-IN"/>
              </w:rPr>
              <w:t>5</w:t>
            </w:r>
          </w:p>
        </w:tc>
        <w:tc>
          <w:tcPr>
            <w:tcW w:w="1104" w:type="dxa"/>
            <w:tcBorders>
              <w:top w:val="nil"/>
              <w:left w:val="nil"/>
              <w:bottom w:val="single" w:sz="8" w:space="0" w:color="auto"/>
              <w:right w:val="single" w:sz="4" w:space="0" w:color="000000"/>
            </w:tcBorders>
            <w:shd w:val="clear" w:color="000000" w:fill="FFFFFF"/>
            <w:vAlign w:val="center"/>
            <w:hideMark/>
          </w:tcPr>
          <w:p w:rsidR="004C5474" w:rsidRPr="00EA5B42" w:rsidRDefault="004C5474" w:rsidP="00770C14">
            <w:pPr>
              <w:jc w:val="center"/>
              <w:rPr>
                <w:rFonts w:ascii="Book Antiqua" w:hAnsi="Book Antiqua" w:cs="Arial"/>
                <w:b/>
                <w:bCs/>
                <w:color w:val="000000"/>
                <w:sz w:val="20"/>
                <w:szCs w:val="20"/>
                <w:lang w:eastAsia="en-IN" w:bidi="gu-IN"/>
              </w:rPr>
            </w:pPr>
            <w:r w:rsidRPr="00EA5B42">
              <w:rPr>
                <w:rFonts w:ascii="Book Antiqua" w:hAnsi="Book Antiqua" w:cs="Arial"/>
                <w:b/>
                <w:bCs/>
                <w:color w:val="000000"/>
                <w:sz w:val="20"/>
                <w:szCs w:val="20"/>
                <w:lang w:eastAsia="en-IN" w:bidi="gu-IN"/>
              </w:rPr>
              <w:t>6</w:t>
            </w:r>
          </w:p>
        </w:tc>
        <w:tc>
          <w:tcPr>
            <w:tcW w:w="1472" w:type="dxa"/>
            <w:tcBorders>
              <w:top w:val="nil"/>
              <w:left w:val="nil"/>
              <w:bottom w:val="single" w:sz="8" w:space="0" w:color="auto"/>
              <w:right w:val="single" w:sz="4" w:space="0" w:color="000000"/>
            </w:tcBorders>
            <w:shd w:val="clear" w:color="000000" w:fill="FFFFFF"/>
            <w:vAlign w:val="center"/>
            <w:hideMark/>
          </w:tcPr>
          <w:p w:rsidR="004C5474" w:rsidRPr="00EA5B42" w:rsidRDefault="004C5474" w:rsidP="00770C14">
            <w:pPr>
              <w:jc w:val="center"/>
              <w:rPr>
                <w:rFonts w:ascii="Book Antiqua" w:hAnsi="Book Antiqua" w:cs="Arial"/>
                <w:b/>
                <w:bCs/>
                <w:color w:val="000000"/>
                <w:sz w:val="20"/>
                <w:szCs w:val="20"/>
                <w:lang w:eastAsia="en-IN" w:bidi="gu-IN"/>
              </w:rPr>
            </w:pPr>
            <w:r w:rsidRPr="00EA5B42">
              <w:rPr>
                <w:rFonts w:ascii="Book Antiqua" w:hAnsi="Book Antiqua" w:cs="Arial"/>
                <w:b/>
                <w:bCs/>
                <w:color w:val="000000"/>
                <w:sz w:val="20"/>
                <w:szCs w:val="20"/>
                <w:lang w:eastAsia="en-IN" w:bidi="gu-IN"/>
              </w:rPr>
              <w:t>7=5/6*10^6</w:t>
            </w:r>
          </w:p>
        </w:tc>
        <w:tc>
          <w:tcPr>
            <w:tcW w:w="1370" w:type="dxa"/>
            <w:tcBorders>
              <w:top w:val="nil"/>
              <w:left w:val="nil"/>
              <w:bottom w:val="single" w:sz="8" w:space="0" w:color="auto"/>
              <w:right w:val="single" w:sz="4" w:space="0" w:color="000000"/>
            </w:tcBorders>
            <w:shd w:val="clear" w:color="000000" w:fill="FFFFFF"/>
            <w:vAlign w:val="center"/>
            <w:hideMark/>
          </w:tcPr>
          <w:p w:rsidR="004C5474" w:rsidRPr="00EA5B42" w:rsidRDefault="004C5474" w:rsidP="00770C14">
            <w:pPr>
              <w:jc w:val="center"/>
              <w:rPr>
                <w:rFonts w:ascii="Book Antiqua" w:hAnsi="Book Antiqua" w:cs="Arial"/>
                <w:b/>
                <w:bCs/>
                <w:color w:val="000000"/>
                <w:sz w:val="20"/>
                <w:szCs w:val="20"/>
                <w:lang w:eastAsia="en-IN" w:bidi="gu-IN"/>
              </w:rPr>
            </w:pPr>
            <w:r w:rsidRPr="00EA5B42">
              <w:rPr>
                <w:rFonts w:ascii="Book Antiqua" w:hAnsi="Book Antiqua" w:cs="Arial"/>
                <w:b/>
                <w:bCs/>
                <w:color w:val="000000"/>
                <w:sz w:val="20"/>
                <w:szCs w:val="20"/>
                <w:lang w:eastAsia="en-IN" w:bidi="gu-IN"/>
              </w:rPr>
              <w:t xml:space="preserve">8=7-4 </w:t>
            </w:r>
          </w:p>
        </w:tc>
        <w:tc>
          <w:tcPr>
            <w:tcW w:w="1134" w:type="dxa"/>
            <w:tcBorders>
              <w:top w:val="nil"/>
              <w:left w:val="nil"/>
              <w:bottom w:val="single" w:sz="8" w:space="0" w:color="auto"/>
              <w:right w:val="single" w:sz="8" w:space="0" w:color="auto"/>
            </w:tcBorders>
            <w:shd w:val="clear" w:color="000000" w:fill="FFFFFF"/>
            <w:vAlign w:val="center"/>
            <w:hideMark/>
          </w:tcPr>
          <w:p w:rsidR="004C5474" w:rsidRPr="00EA5B42" w:rsidRDefault="004C5474" w:rsidP="00770C14">
            <w:pPr>
              <w:jc w:val="center"/>
              <w:rPr>
                <w:rFonts w:ascii="Book Antiqua" w:hAnsi="Book Antiqua" w:cs="Arial"/>
                <w:b/>
                <w:bCs/>
                <w:color w:val="000000"/>
                <w:sz w:val="20"/>
                <w:szCs w:val="20"/>
                <w:lang w:eastAsia="en-IN" w:bidi="gu-IN"/>
              </w:rPr>
            </w:pPr>
            <w:r w:rsidRPr="00EA5B42">
              <w:rPr>
                <w:rFonts w:ascii="Book Antiqua" w:hAnsi="Book Antiqua" w:cs="Arial"/>
                <w:b/>
                <w:bCs/>
                <w:color w:val="000000"/>
                <w:sz w:val="20"/>
                <w:szCs w:val="20"/>
                <w:lang w:eastAsia="en-IN" w:bidi="gu-IN"/>
              </w:rPr>
              <w:t>9 =(8/4)*100</w:t>
            </w:r>
          </w:p>
        </w:tc>
      </w:tr>
      <w:tr w:rsidR="002C4432" w:rsidRPr="00930F33" w:rsidTr="002C4432">
        <w:trPr>
          <w:trHeight w:val="602"/>
        </w:trPr>
        <w:tc>
          <w:tcPr>
            <w:tcW w:w="96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2C4432" w:rsidRPr="00EA5B42" w:rsidRDefault="002C4432" w:rsidP="002C4432">
            <w:pPr>
              <w:jc w:val="center"/>
              <w:rPr>
                <w:rFonts w:ascii="Book Antiqua" w:hAnsi="Book Antiqua" w:cs="Arial"/>
                <w:b/>
                <w:bCs/>
                <w:color w:val="000000"/>
                <w:sz w:val="20"/>
                <w:szCs w:val="20"/>
                <w:lang w:eastAsia="en-IN" w:bidi="gu-IN"/>
              </w:rPr>
            </w:pPr>
            <w:r w:rsidRPr="00EA5B42">
              <w:rPr>
                <w:rFonts w:ascii="Book Antiqua" w:hAnsi="Book Antiqua" w:cs="Arial"/>
                <w:b/>
                <w:bCs/>
                <w:color w:val="000000"/>
                <w:sz w:val="20"/>
                <w:szCs w:val="20"/>
                <w:lang w:eastAsia="en-IN" w:bidi="gu-IN"/>
              </w:rPr>
              <w:t xml:space="preserve">UGVCL </w:t>
            </w:r>
          </w:p>
        </w:tc>
        <w:tc>
          <w:tcPr>
            <w:tcW w:w="730" w:type="dxa"/>
            <w:tcBorders>
              <w:top w:val="single" w:sz="8" w:space="0" w:color="auto"/>
              <w:left w:val="nil"/>
              <w:bottom w:val="single" w:sz="8" w:space="0" w:color="auto"/>
              <w:right w:val="single" w:sz="4" w:space="0" w:color="auto"/>
            </w:tcBorders>
            <w:shd w:val="clear" w:color="000000" w:fill="FFFFFF"/>
            <w:vAlign w:val="center"/>
          </w:tcPr>
          <w:p w:rsidR="002C4432" w:rsidRPr="004C5E50" w:rsidRDefault="002C4432" w:rsidP="002C4432">
            <w:pPr>
              <w:jc w:val="right"/>
              <w:rPr>
                <w:rFonts w:ascii="Book Antiqua" w:hAnsi="Book Antiqua" w:cs="Arial"/>
                <w:b/>
                <w:bCs/>
                <w:color w:val="000000"/>
                <w:sz w:val="20"/>
                <w:szCs w:val="20"/>
                <w:lang w:eastAsia="en-IN" w:bidi="gu-IN"/>
              </w:rPr>
            </w:pPr>
            <w:r>
              <w:rPr>
                <w:rFonts w:ascii="Book Antiqua" w:hAnsi="Book Antiqua"/>
                <w:b/>
                <w:bCs/>
                <w:color w:val="000000"/>
                <w:sz w:val="20"/>
                <w:szCs w:val="20"/>
              </w:rPr>
              <w:t>2,736</w:t>
            </w:r>
          </w:p>
        </w:tc>
        <w:tc>
          <w:tcPr>
            <w:tcW w:w="1152" w:type="dxa"/>
            <w:tcBorders>
              <w:top w:val="single" w:sz="8" w:space="0" w:color="auto"/>
              <w:left w:val="nil"/>
              <w:bottom w:val="single" w:sz="8" w:space="0" w:color="auto"/>
              <w:right w:val="single" w:sz="4" w:space="0" w:color="auto"/>
            </w:tcBorders>
            <w:shd w:val="clear" w:color="000000" w:fill="FFFFFF"/>
            <w:vAlign w:val="center"/>
            <w:hideMark/>
          </w:tcPr>
          <w:p w:rsidR="002C4432" w:rsidRPr="004C5E50" w:rsidRDefault="002C4432" w:rsidP="002C4432">
            <w:pPr>
              <w:jc w:val="right"/>
              <w:rPr>
                <w:rFonts w:ascii="Book Antiqua" w:hAnsi="Book Antiqua" w:cs="Arial"/>
                <w:b/>
                <w:bCs/>
                <w:color w:val="000000"/>
                <w:sz w:val="20"/>
                <w:szCs w:val="20"/>
                <w:lang w:eastAsia="en-IN" w:bidi="gu-IN"/>
              </w:rPr>
            </w:pPr>
            <w:r>
              <w:rPr>
                <w:rFonts w:ascii="Book Antiqua" w:hAnsi="Book Antiqua"/>
                <w:b/>
                <w:bCs/>
                <w:color w:val="000000"/>
                <w:sz w:val="20"/>
                <w:szCs w:val="20"/>
              </w:rPr>
              <w:t>31,66,990</w:t>
            </w:r>
          </w:p>
        </w:tc>
        <w:tc>
          <w:tcPr>
            <w:tcW w:w="1472" w:type="dxa"/>
            <w:tcBorders>
              <w:top w:val="single" w:sz="8" w:space="0" w:color="auto"/>
              <w:left w:val="nil"/>
              <w:bottom w:val="single" w:sz="8" w:space="0" w:color="auto"/>
              <w:right w:val="single" w:sz="4" w:space="0" w:color="auto"/>
            </w:tcBorders>
            <w:shd w:val="clear" w:color="000000" w:fill="FFFFFF"/>
            <w:vAlign w:val="center"/>
            <w:hideMark/>
          </w:tcPr>
          <w:p w:rsidR="002C4432" w:rsidRPr="004C5E50" w:rsidRDefault="002C4432" w:rsidP="002C4432">
            <w:pPr>
              <w:jc w:val="right"/>
              <w:rPr>
                <w:rFonts w:ascii="Book Antiqua" w:hAnsi="Book Antiqua" w:cs="Arial"/>
                <w:b/>
                <w:bCs/>
                <w:color w:val="000000"/>
                <w:sz w:val="20"/>
                <w:szCs w:val="20"/>
                <w:lang w:eastAsia="en-IN" w:bidi="gu-IN"/>
              </w:rPr>
            </w:pPr>
            <w:r>
              <w:rPr>
                <w:color w:val="000000"/>
                <w:sz w:val="22"/>
                <w:szCs w:val="22"/>
              </w:rPr>
              <w:t>864</w:t>
            </w:r>
          </w:p>
        </w:tc>
        <w:tc>
          <w:tcPr>
            <w:tcW w:w="778" w:type="dxa"/>
            <w:tcBorders>
              <w:top w:val="single" w:sz="8" w:space="0" w:color="auto"/>
              <w:left w:val="nil"/>
              <w:bottom w:val="single" w:sz="8" w:space="0" w:color="auto"/>
              <w:right w:val="single" w:sz="4" w:space="0" w:color="auto"/>
            </w:tcBorders>
            <w:shd w:val="clear" w:color="000000" w:fill="FFFFFF"/>
            <w:vAlign w:val="center"/>
          </w:tcPr>
          <w:p w:rsidR="002C4432" w:rsidRPr="004C5E50" w:rsidRDefault="002C4432" w:rsidP="002C4432">
            <w:pPr>
              <w:jc w:val="right"/>
              <w:rPr>
                <w:rFonts w:ascii="Book Antiqua" w:hAnsi="Book Antiqua" w:cs="Arial"/>
                <w:b/>
                <w:bCs/>
                <w:color w:val="000000"/>
                <w:sz w:val="20"/>
                <w:szCs w:val="20"/>
                <w:lang w:eastAsia="en-IN" w:bidi="gu-IN"/>
              </w:rPr>
            </w:pPr>
            <w:r>
              <w:rPr>
                <w:rFonts w:ascii="Book Antiqua" w:hAnsi="Book Antiqua"/>
                <w:b/>
                <w:bCs/>
                <w:color w:val="000000"/>
                <w:sz w:val="20"/>
                <w:szCs w:val="20"/>
              </w:rPr>
              <w:t>3,406</w:t>
            </w:r>
          </w:p>
        </w:tc>
        <w:tc>
          <w:tcPr>
            <w:tcW w:w="1104" w:type="dxa"/>
            <w:tcBorders>
              <w:top w:val="single" w:sz="8" w:space="0" w:color="auto"/>
              <w:left w:val="nil"/>
              <w:bottom w:val="single" w:sz="8" w:space="0" w:color="auto"/>
              <w:right w:val="single" w:sz="4" w:space="0" w:color="auto"/>
            </w:tcBorders>
            <w:shd w:val="clear" w:color="000000" w:fill="FFFFFF"/>
            <w:vAlign w:val="center"/>
            <w:hideMark/>
          </w:tcPr>
          <w:p w:rsidR="002C4432" w:rsidRPr="00EA5B42" w:rsidRDefault="002C4432" w:rsidP="002C4432">
            <w:pPr>
              <w:jc w:val="right"/>
              <w:rPr>
                <w:rFonts w:ascii="Book Antiqua" w:hAnsi="Book Antiqua" w:cs="Arial"/>
                <w:b/>
                <w:bCs/>
                <w:color w:val="000000"/>
                <w:sz w:val="20"/>
                <w:szCs w:val="20"/>
                <w:lang w:eastAsia="en-IN" w:bidi="gu-IN"/>
              </w:rPr>
            </w:pPr>
            <w:r>
              <w:rPr>
                <w:rFonts w:ascii="Book Antiqua" w:hAnsi="Book Antiqua"/>
                <w:b/>
                <w:bCs/>
                <w:color w:val="000000"/>
                <w:sz w:val="20"/>
                <w:szCs w:val="20"/>
              </w:rPr>
              <w:t>34,53,505</w:t>
            </w:r>
          </w:p>
        </w:tc>
        <w:tc>
          <w:tcPr>
            <w:tcW w:w="1472" w:type="dxa"/>
            <w:tcBorders>
              <w:top w:val="single" w:sz="8" w:space="0" w:color="auto"/>
              <w:left w:val="nil"/>
              <w:bottom w:val="single" w:sz="8" w:space="0" w:color="auto"/>
              <w:right w:val="single" w:sz="4" w:space="0" w:color="auto"/>
            </w:tcBorders>
            <w:shd w:val="clear" w:color="000000" w:fill="FFFFFF"/>
            <w:vAlign w:val="center"/>
            <w:hideMark/>
          </w:tcPr>
          <w:p w:rsidR="002C4432" w:rsidRPr="00EA5B42" w:rsidRDefault="002C4432" w:rsidP="002C4432">
            <w:pPr>
              <w:jc w:val="right"/>
              <w:rPr>
                <w:rFonts w:ascii="Book Antiqua" w:hAnsi="Book Antiqua" w:cs="Arial"/>
                <w:b/>
                <w:bCs/>
                <w:color w:val="000000"/>
                <w:sz w:val="20"/>
                <w:szCs w:val="20"/>
                <w:lang w:eastAsia="en-IN" w:bidi="gu-IN"/>
              </w:rPr>
            </w:pPr>
            <w:r>
              <w:rPr>
                <w:color w:val="000000"/>
                <w:sz w:val="22"/>
                <w:szCs w:val="22"/>
              </w:rPr>
              <w:t>986</w:t>
            </w:r>
          </w:p>
        </w:tc>
        <w:tc>
          <w:tcPr>
            <w:tcW w:w="1370" w:type="dxa"/>
            <w:tcBorders>
              <w:top w:val="single" w:sz="8" w:space="0" w:color="auto"/>
              <w:left w:val="nil"/>
              <w:bottom w:val="single" w:sz="8" w:space="0" w:color="auto"/>
              <w:right w:val="single" w:sz="4" w:space="0" w:color="auto"/>
            </w:tcBorders>
            <w:shd w:val="clear" w:color="000000" w:fill="FFFFFF"/>
            <w:vAlign w:val="center"/>
            <w:hideMark/>
          </w:tcPr>
          <w:p w:rsidR="002C4432" w:rsidRPr="00EA5B42" w:rsidRDefault="002C4432" w:rsidP="002C4432">
            <w:pPr>
              <w:jc w:val="right"/>
              <w:rPr>
                <w:rFonts w:ascii="Book Antiqua" w:hAnsi="Book Antiqua" w:cs="Arial"/>
                <w:b/>
                <w:bCs/>
                <w:color w:val="000000"/>
                <w:sz w:val="20"/>
                <w:szCs w:val="20"/>
                <w:lang w:eastAsia="en-IN" w:bidi="gu-IN"/>
              </w:rPr>
            </w:pPr>
            <w:r>
              <w:rPr>
                <w:rFonts w:ascii="Book Antiqua" w:hAnsi="Book Antiqua"/>
                <w:b/>
                <w:bCs/>
                <w:color w:val="000000"/>
                <w:sz w:val="20"/>
                <w:szCs w:val="20"/>
              </w:rPr>
              <w:t>122</w:t>
            </w:r>
          </w:p>
        </w:tc>
        <w:tc>
          <w:tcPr>
            <w:tcW w:w="1134" w:type="dxa"/>
            <w:tcBorders>
              <w:top w:val="single" w:sz="8" w:space="0" w:color="auto"/>
              <w:left w:val="nil"/>
              <w:bottom w:val="single" w:sz="8" w:space="0" w:color="auto"/>
              <w:right w:val="single" w:sz="8" w:space="0" w:color="auto"/>
            </w:tcBorders>
            <w:shd w:val="clear" w:color="000000" w:fill="FFFFFF"/>
            <w:vAlign w:val="center"/>
            <w:hideMark/>
          </w:tcPr>
          <w:p w:rsidR="002C4432" w:rsidRPr="00EA5B42" w:rsidRDefault="002C4432" w:rsidP="002C4432">
            <w:pPr>
              <w:jc w:val="right"/>
              <w:rPr>
                <w:rFonts w:ascii="Book Antiqua" w:hAnsi="Book Antiqua" w:cs="Arial"/>
                <w:b/>
                <w:bCs/>
                <w:color w:val="000000"/>
                <w:sz w:val="20"/>
                <w:szCs w:val="20"/>
                <w:lang w:eastAsia="en-IN" w:bidi="gu-IN"/>
              </w:rPr>
            </w:pPr>
            <w:r>
              <w:rPr>
                <w:rFonts w:ascii="Book Antiqua" w:hAnsi="Book Antiqua"/>
                <w:b/>
                <w:bCs/>
                <w:color w:val="000000"/>
                <w:sz w:val="20"/>
                <w:szCs w:val="20"/>
              </w:rPr>
              <w:t>14.16%</w:t>
            </w:r>
          </w:p>
        </w:tc>
      </w:tr>
    </w:tbl>
    <w:p w:rsidR="00132FD9" w:rsidRPr="00150B59" w:rsidRDefault="00132FD9" w:rsidP="004C5E50">
      <w:pPr>
        <w:ind w:left="142"/>
        <w:jc w:val="both"/>
        <w:rPr>
          <w:rFonts w:ascii="Book Antiqua" w:hAnsi="Book Antiqua"/>
          <w:i/>
          <w:iCs/>
          <w:lang w:val="en-GB"/>
        </w:rPr>
      </w:pPr>
    </w:p>
    <w:p w:rsidR="00150B59" w:rsidRPr="00150B59" w:rsidRDefault="00150B59" w:rsidP="00CE416F">
      <w:pPr>
        <w:spacing w:after="240"/>
        <w:ind w:left="630"/>
        <w:jc w:val="both"/>
        <w:rPr>
          <w:rFonts w:ascii="Book Antiqua" w:hAnsi="Book Antiqua"/>
          <w:lang w:val="en-GB"/>
        </w:rPr>
      </w:pPr>
      <w:r w:rsidRPr="00150B59">
        <w:rPr>
          <w:rFonts w:ascii="Book Antiqua" w:hAnsi="Book Antiqua"/>
          <w:lang w:val="en-GB"/>
        </w:rPr>
        <w:t xml:space="preserve">Above table shows that consumption of metered agricultural consumers has increased during FY 2018-19 vis-à-vis FY 2017-18. Similarly, consumption of unmetered agricultural consumers has increased during FY 2018-19. </w:t>
      </w:r>
      <w:r w:rsidR="00CE416F">
        <w:rPr>
          <w:rFonts w:ascii="Book Antiqua" w:hAnsi="Book Antiqua"/>
          <w:lang w:val="en-GB"/>
        </w:rPr>
        <w:t>Along with higher consumption by unmetered consumers, connected distribution loss has increased.</w:t>
      </w:r>
    </w:p>
    <w:p w:rsidR="00D20D68" w:rsidRPr="005F4E2F" w:rsidRDefault="00D20D68" w:rsidP="000349C9">
      <w:pPr>
        <w:numPr>
          <w:ilvl w:val="0"/>
          <w:numId w:val="3"/>
        </w:numPr>
        <w:spacing w:after="240" w:line="276" w:lineRule="auto"/>
        <w:ind w:left="630" w:hanging="357"/>
        <w:jc w:val="both"/>
        <w:rPr>
          <w:b/>
          <w:bCs/>
          <w:color w:val="000000"/>
        </w:rPr>
      </w:pPr>
      <w:r w:rsidRPr="005F4E2F">
        <w:rPr>
          <w:rFonts w:ascii="Book Antiqua" w:hAnsi="Book Antiqua"/>
          <w:b/>
          <w:bCs/>
          <w:color w:val="000000"/>
        </w:rPr>
        <w:t>UGVCL should submit clarification of 54 MU shown under the head ‘local power purchase by Discom’ mentioned in Table 9.</w:t>
      </w:r>
    </w:p>
    <w:p w:rsidR="00BC488A" w:rsidRPr="005F4E2F" w:rsidRDefault="00BC488A" w:rsidP="005F4E2F">
      <w:pPr>
        <w:spacing w:after="240"/>
        <w:ind w:left="709"/>
        <w:jc w:val="both"/>
        <w:rPr>
          <w:rFonts w:ascii="Book Antiqua" w:hAnsi="Book Antiqua"/>
          <w:lang w:val="en-GB"/>
        </w:rPr>
      </w:pPr>
      <w:r w:rsidRPr="005F4E2F">
        <w:rPr>
          <w:rFonts w:ascii="Book Antiqua" w:hAnsi="Book Antiqua"/>
          <w:lang w:val="en-GB"/>
        </w:rPr>
        <w:t>Compliance:</w:t>
      </w:r>
      <w:r w:rsidR="00D6562F" w:rsidRPr="005F4E2F">
        <w:rPr>
          <w:rFonts w:ascii="Book Antiqua" w:hAnsi="Book Antiqua"/>
          <w:lang w:val="en-GB"/>
        </w:rPr>
        <w:t xml:space="preserve"> -</w:t>
      </w:r>
    </w:p>
    <w:p w:rsidR="00BC488A" w:rsidRDefault="00FE0324" w:rsidP="005C597E">
      <w:pPr>
        <w:spacing w:after="240" w:line="276" w:lineRule="auto"/>
        <w:ind w:left="709"/>
        <w:jc w:val="both"/>
        <w:rPr>
          <w:rFonts w:ascii="Book Antiqua" w:hAnsi="Book Antiqua"/>
          <w:color w:val="000000"/>
        </w:rPr>
      </w:pPr>
      <w:r w:rsidRPr="005C597E">
        <w:rPr>
          <w:rFonts w:ascii="Book Antiqua" w:hAnsi="Book Antiqua"/>
          <w:color w:val="000000"/>
        </w:rPr>
        <w:t>UGVCL has purchased power from Solar (20.84 MUs) and Wind energy generators (33.36 MUs) in line with Govt</w:t>
      </w:r>
      <w:r w:rsidR="005F4E2F">
        <w:rPr>
          <w:rFonts w:ascii="Book Antiqua" w:hAnsi="Book Antiqua"/>
          <w:color w:val="000000"/>
        </w:rPr>
        <w:t>.</w:t>
      </w:r>
      <w:r w:rsidRPr="005C597E">
        <w:rPr>
          <w:rFonts w:ascii="Book Antiqua" w:hAnsi="Book Antiqua"/>
          <w:color w:val="000000"/>
        </w:rPr>
        <w:t xml:space="preserve"> Policy and agreements entered with the respective power generator</w:t>
      </w:r>
      <w:r w:rsidR="005F4E2F">
        <w:rPr>
          <w:rFonts w:ascii="Book Antiqua" w:hAnsi="Book Antiqua"/>
          <w:color w:val="000000"/>
        </w:rPr>
        <w:t>.</w:t>
      </w:r>
    </w:p>
    <w:p w:rsidR="006F61F4" w:rsidRPr="00CE416F" w:rsidRDefault="00D20D68" w:rsidP="00220F1A">
      <w:pPr>
        <w:numPr>
          <w:ilvl w:val="0"/>
          <w:numId w:val="3"/>
        </w:numPr>
        <w:spacing w:after="200" w:line="276" w:lineRule="auto"/>
        <w:ind w:left="630" w:hanging="357"/>
        <w:jc w:val="both"/>
        <w:rPr>
          <w:rFonts w:ascii="Book Antiqua" w:hAnsi="Book Antiqua"/>
          <w:lang w:val="en-GB"/>
        </w:rPr>
      </w:pPr>
      <w:r w:rsidRPr="00CE416F">
        <w:rPr>
          <w:rFonts w:ascii="Book Antiqua" w:hAnsi="Book Antiqua"/>
          <w:b/>
          <w:bCs/>
          <w:color w:val="000000"/>
        </w:rPr>
        <w:t>UGVCL should submit the reasons for claiming Intra-state Transmission Loss of 3.95% whereas GETCO in its Petition has claimed Transmission loss of 3.92%.</w:t>
      </w:r>
    </w:p>
    <w:p w:rsidR="00D6562F" w:rsidRPr="005F4E2F" w:rsidRDefault="00D6562F" w:rsidP="005F4E2F">
      <w:pPr>
        <w:spacing w:after="240" w:line="276" w:lineRule="auto"/>
        <w:ind w:left="630"/>
        <w:jc w:val="both"/>
        <w:rPr>
          <w:rFonts w:ascii="Book Antiqua" w:hAnsi="Book Antiqua"/>
          <w:lang w:val="en-GB"/>
        </w:rPr>
      </w:pPr>
      <w:r w:rsidRPr="005F4E2F">
        <w:rPr>
          <w:rFonts w:ascii="Book Antiqua" w:hAnsi="Book Antiqua"/>
          <w:lang w:val="en-GB"/>
        </w:rPr>
        <w:t>Compliance: -</w:t>
      </w:r>
    </w:p>
    <w:p w:rsidR="000349C9" w:rsidRPr="007D4215" w:rsidRDefault="000349C9" w:rsidP="000349C9">
      <w:pPr>
        <w:pStyle w:val="ListParagraph"/>
        <w:spacing w:after="120" w:line="312" w:lineRule="auto"/>
        <w:ind w:left="630"/>
        <w:jc w:val="both"/>
        <w:rPr>
          <w:rFonts w:ascii="Book Antiqua" w:hAnsi="Book Antiqua" w:cs="Calibri"/>
          <w:color w:val="000000"/>
          <w:sz w:val="24"/>
          <w:szCs w:val="24"/>
          <w:lang w:val="en-IN"/>
        </w:rPr>
      </w:pPr>
      <w:r w:rsidRPr="007D4215">
        <w:rPr>
          <w:rFonts w:ascii="Book Antiqua" w:hAnsi="Book Antiqua" w:cs="Calibri"/>
          <w:color w:val="000000"/>
          <w:sz w:val="24"/>
          <w:szCs w:val="24"/>
          <w:lang w:val="en-IN"/>
        </w:rPr>
        <w:t>The Petitioner has computed Intra-state Transmission Loss as per data available on SLDC website. Same is submitted below for ready reference.</w:t>
      </w:r>
    </w:p>
    <w:tbl>
      <w:tblPr>
        <w:tblW w:w="4648" w:type="pct"/>
        <w:tblInd w:w="675" w:type="dxa"/>
        <w:tblCellMar>
          <w:left w:w="0" w:type="dxa"/>
          <w:right w:w="0" w:type="dxa"/>
        </w:tblCellMar>
        <w:tblLook w:val="04A0"/>
      </w:tblPr>
      <w:tblGrid>
        <w:gridCol w:w="1385"/>
        <w:gridCol w:w="2570"/>
        <w:gridCol w:w="2689"/>
        <w:gridCol w:w="2057"/>
        <w:gridCol w:w="1229"/>
      </w:tblGrid>
      <w:tr w:rsidR="000349C9" w:rsidTr="005C597E">
        <w:trPr>
          <w:cantSplit/>
          <w:trHeight w:val="973"/>
          <w:tblHeader/>
        </w:trPr>
        <w:tc>
          <w:tcPr>
            <w:tcW w:w="697" w:type="pct"/>
            <w:tcBorders>
              <w:top w:val="single" w:sz="8" w:space="0" w:color="000000"/>
              <w:left w:val="single" w:sz="8" w:space="0" w:color="000000"/>
              <w:bottom w:val="single" w:sz="8" w:space="0" w:color="000000"/>
              <w:right w:val="single" w:sz="8" w:space="0" w:color="000000"/>
            </w:tcBorders>
            <w:shd w:val="clear" w:color="auto" w:fill="FABF8F" w:themeFill="accent6" w:themeFillTint="99"/>
            <w:tcMar>
              <w:top w:w="0" w:type="dxa"/>
              <w:left w:w="108" w:type="dxa"/>
              <w:bottom w:w="0" w:type="dxa"/>
              <w:right w:w="108" w:type="dxa"/>
            </w:tcMar>
            <w:vAlign w:val="center"/>
            <w:hideMark/>
          </w:tcPr>
          <w:p w:rsidR="000349C9" w:rsidRPr="005F4E2F" w:rsidRDefault="000349C9" w:rsidP="005F4E2F">
            <w:pPr>
              <w:jc w:val="center"/>
              <w:rPr>
                <w:rFonts w:ascii="Book Antiqua" w:hAnsi="Book Antiqua"/>
                <w:b/>
                <w:bCs/>
              </w:rPr>
            </w:pPr>
            <w:r w:rsidRPr="005F4E2F">
              <w:rPr>
                <w:rFonts w:ascii="Book Antiqua" w:hAnsi="Book Antiqua"/>
                <w:b/>
                <w:bCs/>
              </w:rPr>
              <w:t>Month</w:t>
            </w:r>
          </w:p>
        </w:tc>
        <w:tc>
          <w:tcPr>
            <w:tcW w:w="1294" w:type="pct"/>
            <w:tcBorders>
              <w:top w:val="single" w:sz="8" w:space="0" w:color="000000"/>
              <w:left w:val="nil"/>
              <w:bottom w:val="single" w:sz="8" w:space="0" w:color="000000"/>
              <w:right w:val="single" w:sz="8" w:space="0" w:color="000000"/>
            </w:tcBorders>
            <w:shd w:val="clear" w:color="auto" w:fill="FABF8F" w:themeFill="accent6" w:themeFillTint="99"/>
            <w:tcMar>
              <w:top w:w="0" w:type="dxa"/>
              <w:left w:w="108" w:type="dxa"/>
              <w:bottom w:w="0" w:type="dxa"/>
              <w:right w:w="108" w:type="dxa"/>
            </w:tcMar>
            <w:vAlign w:val="center"/>
            <w:hideMark/>
          </w:tcPr>
          <w:p w:rsidR="000349C9" w:rsidRPr="005F4E2F" w:rsidRDefault="000349C9" w:rsidP="005F4E2F">
            <w:pPr>
              <w:jc w:val="center"/>
              <w:rPr>
                <w:rFonts w:ascii="Book Antiqua" w:hAnsi="Book Antiqua"/>
                <w:b/>
                <w:bCs/>
              </w:rPr>
            </w:pPr>
            <w:r w:rsidRPr="005F4E2F">
              <w:rPr>
                <w:rFonts w:ascii="Book Antiqua" w:hAnsi="Book Antiqua"/>
                <w:b/>
                <w:bCs/>
              </w:rPr>
              <w:t>Energy Injected into GETCO Network(in MU)</w:t>
            </w:r>
          </w:p>
        </w:tc>
        <w:tc>
          <w:tcPr>
            <w:tcW w:w="1354" w:type="pct"/>
            <w:tcBorders>
              <w:top w:val="single" w:sz="8" w:space="0" w:color="000000"/>
              <w:left w:val="nil"/>
              <w:bottom w:val="single" w:sz="8" w:space="0" w:color="000000"/>
              <w:right w:val="single" w:sz="8" w:space="0" w:color="000000"/>
            </w:tcBorders>
            <w:shd w:val="clear" w:color="auto" w:fill="FABF8F" w:themeFill="accent6" w:themeFillTint="99"/>
            <w:tcMar>
              <w:top w:w="0" w:type="dxa"/>
              <w:left w:w="108" w:type="dxa"/>
              <w:bottom w:w="0" w:type="dxa"/>
              <w:right w:w="108" w:type="dxa"/>
            </w:tcMar>
            <w:vAlign w:val="center"/>
            <w:hideMark/>
          </w:tcPr>
          <w:p w:rsidR="000349C9" w:rsidRPr="005F4E2F" w:rsidRDefault="000349C9" w:rsidP="005F4E2F">
            <w:pPr>
              <w:jc w:val="center"/>
              <w:rPr>
                <w:rFonts w:ascii="Book Antiqua" w:hAnsi="Book Antiqua"/>
                <w:b/>
                <w:bCs/>
              </w:rPr>
            </w:pPr>
            <w:r w:rsidRPr="005F4E2F">
              <w:rPr>
                <w:rFonts w:ascii="Book Antiqua" w:hAnsi="Book Antiqua"/>
                <w:b/>
                <w:bCs/>
              </w:rPr>
              <w:t>Energy Dispatched from GETCO Network (in MU)</w:t>
            </w:r>
          </w:p>
        </w:tc>
        <w:tc>
          <w:tcPr>
            <w:tcW w:w="1036" w:type="pct"/>
            <w:tcBorders>
              <w:top w:val="single" w:sz="8" w:space="0" w:color="000000"/>
              <w:left w:val="nil"/>
              <w:bottom w:val="single" w:sz="8" w:space="0" w:color="000000"/>
              <w:right w:val="single" w:sz="8" w:space="0" w:color="000000"/>
            </w:tcBorders>
            <w:shd w:val="clear" w:color="auto" w:fill="FABF8F" w:themeFill="accent6" w:themeFillTint="99"/>
            <w:tcMar>
              <w:top w:w="0" w:type="dxa"/>
              <w:left w:w="108" w:type="dxa"/>
              <w:bottom w:w="0" w:type="dxa"/>
              <w:right w:w="108" w:type="dxa"/>
            </w:tcMar>
            <w:vAlign w:val="center"/>
            <w:hideMark/>
          </w:tcPr>
          <w:p w:rsidR="000349C9" w:rsidRPr="005F4E2F" w:rsidRDefault="000349C9" w:rsidP="005F4E2F">
            <w:pPr>
              <w:jc w:val="center"/>
              <w:rPr>
                <w:rFonts w:ascii="Book Antiqua" w:hAnsi="Book Antiqua"/>
                <w:b/>
                <w:bCs/>
              </w:rPr>
            </w:pPr>
            <w:r w:rsidRPr="005F4E2F">
              <w:rPr>
                <w:rFonts w:ascii="Book Antiqua" w:hAnsi="Book Antiqua"/>
                <w:b/>
                <w:bCs/>
              </w:rPr>
              <w:t>Energy Losses</w:t>
            </w:r>
          </w:p>
          <w:p w:rsidR="000349C9" w:rsidRPr="005F4E2F" w:rsidRDefault="000349C9" w:rsidP="005F4E2F">
            <w:pPr>
              <w:jc w:val="center"/>
              <w:rPr>
                <w:rFonts w:ascii="Book Antiqua" w:hAnsi="Book Antiqua"/>
                <w:b/>
                <w:bCs/>
              </w:rPr>
            </w:pPr>
            <w:r w:rsidRPr="005F4E2F">
              <w:rPr>
                <w:rFonts w:ascii="Book Antiqua" w:hAnsi="Book Antiqua"/>
                <w:b/>
                <w:bCs/>
              </w:rPr>
              <w:t>(in MU)</w:t>
            </w:r>
          </w:p>
        </w:tc>
        <w:tc>
          <w:tcPr>
            <w:tcW w:w="620" w:type="pct"/>
            <w:tcBorders>
              <w:top w:val="single" w:sz="8" w:space="0" w:color="000000"/>
              <w:left w:val="nil"/>
              <w:bottom w:val="single" w:sz="8" w:space="0" w:color="000000"/>
              <w:right w:val="single" w:sz="8" w:space="0" w:color="000000"/>
            </w:tcBorders>
            <w:shd w:val="clear" w:color="auto" w:fill="FABF8F" w:themeFill="accent6" w:themeFillTint="99"/>
            <w:tcMar>
              <w:top w:w="0" w:type="dxa"/>
              <w:left w:w="108" w:type="dxa"/>
              <w:bottom w:w="0" w:type="dxa"/>
              <w:right w:w="108" w:type="dxa"/>
            </w:tcMar>
            <w:vAlign w:val="center"/>
            <w:hideMark/>
          </w:tcPr>
          <w:p w:rsidR="000349C9" w:rsidRPr="005F4E2F" w:rsidRDefault="000349C9" w:rsidP="005F4E2F">
            <w:pPr>
              <w:jc w:val="center"/>
              <w:rPr>
                <w:rFonts w:ascii="Book Antiqua" w:hAnsi="Book Antiqua"/>
                <w:b/>
                <w:bCs/>
              </w:rPr>
            </w:pPr>
            <w:r w:rsidRPr="005F4E2F">
              <w:rPr>
                <w:rFonts w:ascii="Book Antiqua" w:hAnsi="Book Antiqua"/>
                <w:b/>
                <w:bCs/>
              </w:rPr>
              <w:t>% Losses</w:t>
            </w:r>
          </w:p>
        </w:tc>
      </w:tr>
      <w:tr w:rsidR="000349C9" w:rsidTr="005C597E">
        <w:trPr>
          <w:trHeight w:val="299"/>
        </w:trPr>
        <w:tc>
          <w:tcPr>
            <w:tcW w:w="697"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rPr>
                <w:rFonts w:ascii="Book Antiqua" w:hAnsi="Book Antiqua"/>
              </w:rPr>
            </w:pPr>
            <w:r w:rsidRPr="005F4E2F">
              <w:rPr>
                <w:rFonts w:ascii="Book Antiqua" w:hAnsi="Book Antiqua"/>
              </w:rPr>
              <w:t>Mar-19</w:t>
            </w:r>
          </w:p>
        </w:tc>
        <w:tc>
          <w:tcPr>
            <w:tcW w:w="129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8937.83</w:t>
            </w:r>
          </w:p>
        </w:tc>
        <w:tc>
          <w:tcPr>
            <w:tcW w:w="135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8613.99</w:t>
            </w:r>
          </w:p>
        </w:tc>
        <w:tc>
          <w:tcPr>
            <w:tcW w:w="1036"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323.84</w:t>
            </w:r>
          </w:p>
        </w:tc>
        <w:tc>
          <w:tcPr>
            <w:tcW w:w="62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3.62</w:t>
            </w:r>
          </w:p>
        </w:tc>
      </w:tr>
      <w:tr w:rsidR="000349C9" w:rsidTr="005C597E">
        <w:trPr>
          <w:trHeight w:val="315"/>
        </w:trPr>
        <w:tc>
          <w:tcPr>
            <w:tcW w:w="697"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rPr>
                <w:rFonts w:ascii="Book Antiqua" w:hAnsi="Book Antiqua"/>
              </w:rPr>
            </w:pPr>
            <w:r w:rsidRPr="005F4E2F">
              <w:rPr>
                <w:rFonts w:ascii="Book Antiqua" w:hAnsi="Book Antiqua"/>
              </w:rPr>
              <w:t>Feb-19</w:t>
            </w:r>
          </w:p>
        </w:tc>
        <w:tc>
          <w:tcPr>
            <w:tcW w:w="129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7886.03</w:t>
            </w:r>
          </w:p>
        </w:tc>
        <w:tc>
          <w:tcPr>
            <w:tcW w:w="135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7576.31</w:t>
            </w:r>
          </w:p>
        </w:tc>
        <w:tc>
          <w:tcPr>
            <w:tcW w:w="1036"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309.72</w:t>
            </w:r>
          </w:p>
        </w:tc>
        <w:tc>
          <w:tcPr>
            <w:tcW w:w="62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3.93</w:t>
            </w:r>
          </w:p>
        </w:tc>
      </w:tr>
      <w:tr w:rsidR="000349C9" w:rsidTr="005C597E">
        <w:trPr>
          <w:trHeight w:val="315"/>
        </w:trPr>
        <w:tc>
          <w:tcPr>
            <w:tcW w:w="697"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rPr>
                <w:rFonts w:ascii="Book Antiqua" w:hAnsi="Book Antiqua"/>
              </w:rPr>
            </w:pPr>
            <w:r w:rsidRPr="005F4E2F">
              <w:rPr>
                <w:rFonts w:ascii="Book Antiqua" w:hAnsi="Book Antiqua"/>
              </w:rPr>
              <w:t>Jan-19</w:t>
            </w:r>
          </w:p>
        </w:tc>
        <w:tc>
          <w:tcPr>
            <w:tcW w:w="129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8615.7</w:t>
            </w:r>
          </w:p>
        </w:tc>
        <w:tc>
          <w:tcPr>
            <w:tcW w:w="135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8271.79</w:t>
            </w:r>
          </w:p>
        </w:tc>
        <w:tc>
          <w:tcPr>
            <w:tcW w:w="1036"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343.91</w:t>
            </w:r>
          </w:p>
        </w:tc>
        <w:tc>
          <w:tcPr>
            <w:tcW w:w="62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3.99</w:t>
            </w:r>
          </w:p>
        </w:tc>
      </w:tr>
      <w:tr w:rsidR="000349C9" w:rsidTr="005C597E">
        <w:trPr>
          <w:trHeight w:val="315"/>
        </w:trPr>
        <w:tc>
          <w:tcPr>
            <w:tcW w:w="697"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rPr>
                <w:rFonts w:ascii="Book Antiqua" w:hAnsi="Book Antiqua"/>
              </w:rPr>
            </w:pPr>
            <w:r w:rsidRPr="005F4E2F">
              <w:rPr>
                <w:rFonts w:ascii="Book Antiqua" w:hAnsi="Book Antiqua"/>
              </w:rPr>
              <w:t>Dec-18</w:t>
            </w:r>
          </w:p>
        </w:tc>
        <w:tc>
          <w:tcPr>
            <w:tcW w:w="129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8726.13</w:t>
            </w:r>
          </w:p>
        </w:tc>
        <w:tc>
          <w:tcPr>
            <w:tcW w:w="135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8372.8</w:t>
            </w:r>
          </w:p>
        </w:tc>
        <w:tc>
          <w:tcPr>
            <w:tcW w:w="1036"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353.33</w:t>
            </w:r>
          </w:p>
        </w:tc>
        <w:tc>
          <w:tcPr>
            <w:tcW w:w="62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4.05</w:t>
            </w:r>
          </w:p>
        </w:tc>
      </w:tr>
      <w:tr w:rsidR="000349C9" w:rsidTr="005C597E">
        <w:trPr>
          <w:trHeight w:val="315"/>
        </w:trPr>
        <w:tc>
          <w:tcPr>
            <w:tcW w:w="697"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rPr>
                <w:rFonts w:ascii="Book Antiqua" w:hAnsi="Book Antiqua"/>
              </w:rPr>
            </w:pPr>
            <w:r w:rsidRPr="005F4E2F">
              <w:rPr>
                <w:rFonts w:ascii="Book Antiqua" w:hAnsi="Book Antiqua"/>
              </w:rPr>
              <w:t>Nov-18</w:t>
            </w:r>
          </w:p>
        </w:tc>
        <w:tc>
          <w:tcPr>
            <w:tcW w:w="129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8309.82</w:t>
            </w:r>
          </w:p>
        </w:tc>
        <w:tc>
          <w:tcPr>
            <w:tcW w:w="135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8003.83</w:t>
            </w:r>
          </w:p>
        </w:tc>
        <w:tc>
          <w:tcPr>
            <w:tcW w:w="1036"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306</w:t>
            </w:r>
          </w:p>
        </w:tc>
        <w:tc>
          <w:tcPr>
            <w:tcW w:w="62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3.68</w:t>
            </w:r>
          </w:p>
        </w:tc>
      </w:tr>
      <w:tr w:rsidR="000349C9" w:rsidTr="005C597E">
        <w:trPr>
          <w:trHeight w:val="315"/>
        </w:trPr>
        <w:tc>
          <w:tcPr>
            <w:tcW w:w="697"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rPr>
                <w:rFonts w:ascii="Book Antiqua" w:hAnsi="Book Antiqua"/>
              </w:rPr>
            </w:pPr>
            <w:r w:rsidRPr="005F4E2F">
              <w:rPr>
                <w:rFonts w:ascii="Book Antiqua" w:hAnsi="Book Antiqua"/>
              </w:rPr>
              <w:lastRenderedPageBreak/>
              <w:t>Oct-18</w:t>
            </w:r>
          </w:p>
        </w:tc>
        <w:tc>
          <w:tcPr>
            <w:tcW w:w="129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10037.63</w:t>
            </w:r>
          </w:p>
        </w:tc>
        <w:tc>
          <w:tcPr>
            <w:tcW w:w="135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9623.27</w:t>
            </w:r>
          </w:p>
        </w:tc>
        <w:tc>
          <w:tcPr>
            <w:tcW w:w="1036"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414.36</w:t>
            </w:r>
          </w:p>
        </w:tc>
        <w:tc>
          <w:tcPr>
            <w:tcW w:w="62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4.13</w:t>
            </w:r>
          </w:p>
        </w:tc>
      </w:tr>
      <w:tr w:rsidR="000349C9" w:rsidTr="005C597E">
        <w:trPr>
          <w:trHeight w:val="315"/>
        </w:trPr>
        <w:tc>
          <w:tcPr>
            <w:tcW w:w="697"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rPr>
                <w:rFonts w:ascii="Book Antiqua" w:hAnsi="Book Antiqua"/>
              </w:rPr>
            </w:pPr>
            <w:r w:rsidRPr="005F4E2F">
              <w:rPr>
                <w:rFonts w:ascii="Book Antiqua" w:hAnsi="Book Antiqua"/>
              </w:rPr>
              <w:t>Sep-18</w:t>
            </w:r>
          </w:p>
        </w:tc>
        <w:tc>
          <w:tcPr>
            <w:tcW w:w="129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9131.76</w:t>
            </w:r>
          </w:p>
        </w:tc>
        <w:tc>
          <w:tcPr>
            <w:tcW w:w="135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8734.85</w:t>
            </w:r>
          </w:p>
        </w:tc>
        <w:tc>
          <w:tcPr>
            <w:tcW w:w="1036"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396.91</w:t>
            </w:r>
          </w:p>
        </w:tc>
        <w:tc>
          <w:tcPr>
            <w:tcW w:w="62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4.35</w:t>
            </w:r>
          </w:p>
        </w:tc>
      </w:tr>
      <w:tr w:rsidR="000349C9" w:rsidTr="005C597E">
        <w:trPr>
          <w:trHeight w:val="315"/>
        </w:trPr>
        <w:tc>
          <w:tcPr>
            <w:tcW w:w="697"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rPr>
                <w:rFonts w:ascii="Book Antiqua" w:hAnsi="Book Antiqua"/>
              </w:rPr>
            </w:pPr>
            <w:r w:rsidRPr="005F4E2F">
              <w:rPr>
                <w:rFonts w:ascii="Book Antiqua" w:hAnsi="Book Antiqua"/>
              </w:rPr>
              <w:t>Aug-18</w:t>
            </w:r>
          </w:p>
        </w:tc>
        <w:tc>
          <w:tcPr>
            <w:tcW w:w="129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8498.44</w:t>
            </w:r>
          </w:p>
        </w:tc>
        <w:tc>
          <w:tcPr>
            <w:tcW w:w="135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8165.13</w:t>
            </w:r>
          </w:p>
        </w:tc>
        <w:tc>
          <w:tcPr>
            <w:tcW w:w="1036"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333.32</w:t>
            </w:r>
          </w:p>
        </w:tc>
        <w:tc>
          <w:tcPr>
            <w:tcW w:w="62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3.92</w:t>
            </w:r>
          </w:p>
        </w:tc>
      </w:tr>
      <w:tr w:rsidR="000349C9" w:rsidTr="005C597E">
        <w:trPr>
          <w:trHeight w:val="315"/>
        </w:trPr>
        <w:tc>
          <w:tcPr>
            <w:tcW w:w="697"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rPr>
                <w:rFonts w:ascii="Book Antiqua" w:hAnsi="Book Antiqua"/>
              </w:rPr>
            </w:pPr>
            <w:r w:rsidRPr="005F4E2F">
              <w:rPr>
                <w:rFonts w:ascii="Book Antiqua" w:hAnsi="Book Antiqua"/>
              </w:rPr>
              <w:t>Jul-18</w:t>
            </w:r>
          </w:p>
        </w:tc>
        <w:tc>
          <w:tcPr>
            <w:tcW w:w="129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7754.05</w:t>
            </w:r>
          </w:p>
        </w:tc>
        <w:tc>
          <w:tcPr>
            <w:tcW w:w="135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7438.33</w:t>
            </w:r>
          </w:p>
        </w:tc>
        <w:tc>
          <w:tcPr>
            <w:tcW w:w="1036"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315.72</w:t>
            </w:r>
          </w:p>
        </w:tc>
        <w:tc>
          <w:tcPr>
            <w:tcW w:w="62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4.07</w:t>
            </w:r>
          </w:p>
        </w:tc>
      </w:tr>
      <w:tr w:rsidR="000349C9" w:rsidTr="005C597E">
        <w:trPr>
          <w:trHeight w:val="315"/>
        </w:trPr>
        <w:tc>
          <w:tcPr>
            <w:tcW w:w="697"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rPr>
                <w:rFonts w:ascii="Book Antiqua" w:hAnsi="Book Antiqua"/>
              </w:rPr>
            </w:pPr>
            <w:r w:rsidRPr="005F4E2F">
              <w:rPr>
                <w:rFonts w:ascii="Book Antiqua" w:hAnsi="Book Antiqua"/>
              </w:rPr>
              <w:t>Jun-18</w:t>
            </w:r>
          </w:p>
        </w:tc>
        <w:tc>
          <w:tcPr>
            <w:tcW w:w="129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8977.01</w:t>
            </w:r>
          </w:p>
        </w:tc>
        <w:tc>
          <w:tcPr>
            <w:tcW w:w="135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8571.88</w:t>
            </w:r>
          </w:p>
        </w:tc>
        <w:tc>
          <w:tcPr>
            <w:tcW w:w="1036"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405.13</w:t>
            </w:r>
          </w:p>
        </w:tc>
        <w:tc>
          <w:tcPr>
            <w:tcW w:w="62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4.51</w:t>
            </w:r>
          </w:p>
        </w:tc>
      </w:tr>
      <w:tr w:rsidR="000349C9" w:rsidTr="005C597E">
        <w:trPr>
          <w:trHeight w:val="315"/>
        </w:trPr>
        <w:tc>
          <w:tcPr>
            <w:tcW w:w="697"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rPr>
                <w:rFonts w:ascii="Book Antiqua" w:hAnsi="Book Antiqua"/>
              </w:rPr>
            </w:pPr>
            <w:r w:rsidRPr="005F4E2F">
              <w:rPr>
                <w:rFonts w:ascii="Book Antiqua" w:hAnsi="Book Antiqua"/>
              </w:rPr>
              <w:t>May-18</w:t>
            </w:r>
          </w:p>
        </w:tc>
        <w:tc>
          <w:tcPr>
            <w:tcW w:w="129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9327.94</w:t>
            </w:r>
          </w:p>
        </w:tc>
        <w:tc>
          <w:tcPr>
            <w:tcW w:w="135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8991.6</w:t>
            </w:r>
          </w:p>
        </w:tc>
        <w:tc>
          <w:tcPr>
            <w:tcW w:w="1036"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336.34</w:t>
            </w:r>
          </w:p>
        </w:tc>
        <w:tc>
          <w:tcPr>
            <w:tcW w:w="62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3.61</w:t>
            </w:r>
          </w:p>
        </w:tc>
      </w:tr>
      <w:tr w:rsidR="000349C9" w:rsidTr="005C597E">
        <w:trPr>
          <w:trHeight w:val="315"/>
        </w:trPr>
        <w:tc>
          <w:tcPr>
            <w:tcW w:w="697"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rPr>
                <w:rFonts w:ascii="Book Antiqua" w:hAnsi="Book Antiqua"/>
              </w:rPr>
            </w:pPr>
            <w:r w:rsidRPr="005F4E2F">
              <w:rPr>
                <w:rFonts w:ascii="Book Antiqua" w:hAnsi="Book Antiqua"/>
              </w:rPr>
              <w:t>Apr-18</w:t>
            </w:r>
          </w:p>
        </w:tc>
        <w:tc>
          <w:tcPr>
            <w:tcW w:w="129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8955.62</w:t>
            </w:r>
          </w:p>
        </w:tc>
        <w:tc>
          <w:tcPr>
            <w:tcW w:w="1354"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8641.28</w:t>
            </w:r>
          </w:p>
        </w:tc>
        <w:tc>
          <w:tcPr>
            <w:tcW w:w="1036"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314.34</w:t>
            </w:r>
          </w:p>
        </w:tc>
        <w:tc>
          <w:tcPr>
            <w:tcW w:w="620"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rPr>
            </w:pPr>
            <w:r w:rsidRPr="005F4E2F">
              <w:rPr>
                <w:rFonts w:ascii="Book Antiqua" w:hAnsi="Book Antiqua"/>
              </w:rPr>
              <w:t>3.51</w:t>
            </w:r>
          </w:p>
        </w:tc>
      </w:tr>
      <w:tr w:rsidR="000349C9" w:rsidTr="005C597E">
        <w:trPr>
          <w:trHeight w:val="300"/>
        </w:trPr>
        <w:tc>
          <w:tcPr>
            <w:tcW w:w="697"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349C9" w:rsidRPr="005F4E2F" w:rsidRDefault="000349C9">
            <w:pPr>
              <w:rPr>
                <w:rFonts w:ascii="Book Antiqua" w:hAnsi="Book Antiqua"/>
                <w:b/>
                <w:bCs/>
              </w:rPr>
            </w:pPr>
            <w:r w:rsidRPr="005F4E2F">
              <w:rPr>
                <w:rFonts w:ascii="Book Antiqua" w:hAnsi="Book Antiqua"/>
                <w:b/>
                <w:bCs/>
              </w:rPr>
              <w:t>Total</w:t>
            </w:r>
          </w:p>
        </w:tc>
        <w:tc>
          <w:tcPr>
            <w:tcW w:w="1294" w:type="pct"/>
            <w:tcBorders>
              <w:top w:val="nil"/>
              <w:left w:val="nil"/>
              <w:bottom w:val="nil"/>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b/>
                <w:bCs/>
              </w:rPr>
            </w:pPr>
            <w:r w:rsidRPr="005F4E2F">
              <w:rPr>
                <w:rFonts w:ascii="Book Antiqua" w:hAnsi="Book Antiqua"/>
                <w:b/>
                <w:bCs/>
              </w:rPr>
              <w:t>105157.96</w:t>
            </w:r>
          </w:p>
        </w:tc>
        <w:tc>
          <w:tcPr>
            <w:tcW w:w="1354" w:type="pct"/>
            <w:tcBorders>
              <w:top w:val="nil"/>
              <w:left w:val="nil"/>
              <w:bottom w:val="nil"/>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b/>
                <w:bCs/>
              </w:rPr>
            </w:pPr>
            <w:r w:rsidRPr="005F4E2F">
              <w:rPr>
                <w:rFonts w:ascii="Book Antiqua" w:hAnsi="Book Antiqua"/>
                <w:b/>
                <w:bCs/>
              </w:rPr>
              <w:t>101005.06</w:t>
            </w:r>
          </w:p>
        </w:tc>
        <w:tc>
          <w:tcPr>
            <w:tcW w:w="1036" w:type="pct"/>
            <w:tcBorders>
              <w:top w:val="nil"/>
              <w:left w:val="nil"/>
              <w:bottom w:val="nil"/>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b/>
                <w:bCs/>
              </w:rPr>
            </w:pPr>
            <w:r w:rsidRPr="005F4E2F">
              <w:rPr>
                <w:rFonts w:ascii="Book Antiqua" w:hAnsi="Book Antiqua"/>
                <w:b/>
                <w:bCs/>
              </w:rPr>
              <w:t>4152.92</w:t>
            </w:r>
          </w:p>
        </w:tc>
        <w:tc>
          <w:tcPr>
            <w:tcW w:w="620" w:type="pct"/>
            <w:tcBorders>
              <w:top w:val="nil"/>
              <w:left w:val="nil"/>
              <w:bottom w:val="nil"/>
              <w:right w:val="single" w:sz="8" w:space="0" w:color="000000"/>
            </w:tcBorders>
            <w:tcMar>
              <w:top w:w="0" w:type="dxa"/>
              <w:left w:w="108" w:type="dxa"/>
              <w:bottom w:w="0" w:type="dxa"/>
              <w:right w:w="108" w:type="dxa"/>
            </w:tcMar>
            <w:vAlign w:val="center"/>
            <w:hideMark/>
          </w:tcPr>
          <w:p w:rsidR="000349C9" w:rsidRPr="005F4E2F" w:rsidRDefault="000349C9">
            <w:pPr>
              <w:jc w:val="right"/>
              <w:rPr>
                <w:rFonts w:ascii="Book Antiqua" w:hAnsi="Book Antiqua"/>
                <w:b/>
                <w:bCs/>
              </w:rPr>
            </w:pPr>
            <w:r w:rsidRPr="005F4E2F">
              <w:rPr>
                <w:rFonts w:ascii="Book Antiqua" w:hAnsi="Book Antiqua"/>
                <w:b/>
                <w:bCs/>
              </w:rPr>
              <w:t>47.37</w:t>
            </w:r>
          </w:p>
        </w:tc>
      </w:tr>
      <w:tr w:rsidR="000349C9" w:rsidTr="005C597E">
        <w:trPr>
          <w:trHeight w:val="245"/>
        </w:trPr>
        <w:tc>
          <w:tcPr>
            <w:tcW w:w="697" w:type="pct"/>
            <w:noWrap/>
            <w:tcMar>
              <w:top w:w="0" w:type="dxa"/>
              <w:left w:w="108" w:type="dxa"/>
              <w:bottom w:w="0" w:type="dxa"/>
              <w:right w:w="108" w:type="dxa"/>
            </w:tcMar>
            <w:vAlign w:val="bottom"/>
            <w:hideMark/>
          </w:tcPr>
          <w:p w:rsidR="000349C9" w:rsidRPr="005F4E2F" w:rsidRDefault="000349C9">
            <w:pPr>
              <w:rPr>
                <w:rFonts w:ascii="Book Antiqua" w:hAnsi="Book Antiqua"/>
              </w:rPr>
            </w:pPr>
          </w:p>
        </w:tc>
        <w:tc>
          <w:tcPr>
            <w:tcW w:w="1294"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349C9" w:rsidRPr="005F4E2F" w:rsidRDefault="000349C9">
            <w:pPr>
              <w:jc w:val="right"/>
              <w:rPr>
                <w:rFonts w:ascii="Book Antiqua" w:hAnsi="Book Antiqua"/>
              </w:rPr>
            </w:pPr>
            <w:r w:rsidRPr="005F4E2F">
              <w:rPr>
                <w:rFonts w:ascii="Book Antiqua" w:hAnsi="Book Antiqua"/>
              </w:rPr>
              <w:t>A</w:t>
            </w:r>
          </w:p>
        </w:tc>
        <w:tc>
          <w:tcPr>
            <w:tcW w:w="1354"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349C9" w:rsidRPr="005F4E2F" w:rsidRDefault="000349C9">
            <w:pPr>
              <w:jc w:val="right"/>
              <w:rPr>
                <w:rFonts w:ascii="Book Antiqua" w:hAnsi="Book Antiqua"/>
              </w:rPr>
            </w:pPr>
            <w:r w:rsidRPr="005F4E2F">
              <w:rPr>
                <w:rFonts w:ascii="Book Antiqua" w:hAnsi="Book Antiqua"/>
              </w:rPr>
              <w:t>B</w:t>
            </w:r>
          </w:p>
        </w:tc>
        <w:tc>
          <w:tcPr>
            <w:tcW w:w="1036"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349C9" w:rsidRPr="005F4E2F" w:rsidRDefault="000349C9">
            <w:pPr>
              <w:jc w:val="right"/>
              <w:rPr>
                <w:rFonts w:ascii="Book Antiqua" w:hAnsi="Book Antiqua"/>
              </w:rPr>
            </w:pPr>
          </w:p>
        </w:tc>
        <w:tc>
          <w:tcPr>
            <w:tcW w:w="620"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349C9" w:rsidRPr="005F4E2F" w:rsidRDefault="000349C9">
            <w:pPr>
              <w:jc w:val="right"/>
              <w:rPr>
                <w:rFonts w:ascii="Book Antiqua" w:hAnsi="Book Antiqua"/>
              </w:rPr>
            </w:pPr>
            <w:r w:rsidRPr="005F4E2F">
              <w:rPr>
                <w:rFonts w:ascii="Book Antiqua" w:hAnsi="Book Antiqua"/>
              </w:rPr>
              <w:t>C=B/A</w:t>
            </w:r>
          </w:p>
        </w:tc>
      </w:tr>
      <w:tr w:rsidR="000349C9" w:rsidTr="005C597E">
        <w:trPr>
          <w:trHeight w:val="295"/>
        </w:trPr>
        <w:tc>
          <w:tcPr>
            <w:tcW w:w="697" w:type="pct"/>
            <w:noWrap/>
            <w:tcMar>
              <w:top w:w="0" w:type="dxa"/>
              <w:left w:w="108" w:type="dxa"/>
              <w:bottom w:w="0" w:type="dxa"/>
              <w:right w:w="108" w:type="dxa"/>
            </w:tcMar>
            <w:vAlign w:val="bottom"/>
            <w:hideMark/>
          </w:tcPr>
          <w:p w:rsidR="000349C9" w:rsidRPr="005F4E2F" w:rsidRDefault="000349C9">
            <w:pPr>
              <w:rPr>
                <w:rFonts w:ascii="Book Antiqua" w:hAnsi="Book Antiqua"/>
              </w:rPr>
            </w:pPr>
          </w:p>
        </w:tc>
        <w:tc>
          <w:tcPr>
            <w:tcW w:w="129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0349C9" w:rsidRPr="005F4E2F" w:rsidRDefault="000349C9">
            <w:pPr>
              <w:jc w:val="right"/>
              <w:rPr>
                <w:rFonts w:ascii="Book Antiqua" w:hAnsi="Book Antiqua"/>
              </w:rPr>
            </w:pPr>
            <w:r w:rsidRPr="005F4E2F">
              <w:rPr>
                <w:rFonts w:ascii="Book Antiqua" w:hAnsi="Book Antiqua"/>
              </w:rPr>
              <w:t>210315.92</w:t>
            </w:r>
          </w:p>
        </w:tc>
        <w:tc>
          <w:tcPr>
            <w:tcW w:w="1354"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49C9" w:rsidRPr="005F4E2F" w:rsidRDefault="000349C9">
            <w:pPr>
              <w:jc w:val="right"/>
              <w:rPr>
                <w:rFonts w:ascii="Book Antiqua" w:hAnsi="Book Antiqua"/>
              </w:rPr>
            </w:pPr>
            <w:r w:rsidRPr="005F4E2F">
              <w:rPr>
                <w:rFonts w:ascii="Book Antiqua" w:hAnsi="Book Antiqua"/>
              </w:rPr>
              <w:t>202010.12</w:t>
            </w:r>
          </w:p>
        </w:tc>
        <w:tc>
          <w:tcPr>
            <w:tcW w:w="1036"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49C9" w:rsidRPr="005F4E2F" w:rsidRDefault="000349C9">
            <w:pPr>
              <w:jc w:val="right"/>
              <w:rPr>
                <w:rFonts w:ascii="Book Antiqua" w:hAnsi="Book Antiqua"/>
              </w:rPr>
            </w:pPr>
            <w:r w:rsidRPr="005F4E2F">
              <w:rPr>
                <w:rFonts w:ascii="Book Antiqua" w:hAnsi="Book Antiqua"/>
              </w:rPr>
              <w:t>8305.84</w:t>
            </w:r>
          </w:p>
        </w:tc>
        <w:tc>
          <w:tcPr>
            <w:tcW w:w="62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349C9" w:rsidRPr="005F4E2F" w:rsidRDefault="000349C9">
            <w:pPr>
              <w:jc w:val="right"/>
              <w:rPr>
                <w:rFonts w:ascii="Book Antiqua" w:hAnsi="Book Antiqua"/>
              </w:rPr>
            </w:pPr>
            <w:r w:rsidRPr="005F4E2F">
              <w:rPr>
                <w:rFonts w:ascii="Book Antiqua" w:hAnsi="Book Antiqua"/>
              </w:rPr>
              <w:t>3.9492%</w:t>
            </w:r>
          </w:p>
        </w:tc>
      </w:tr>
    </w:tbl>
    <w:p w:rsidR="000349C9" w:rsidRDefault="000349C9" w:rsidP="000349C9">
      <w:pPr>
        <w:spacing w:after="240" w:line="276" w:lineRule="auto"/>
        <w:jc w:val="both"/>
        <w:rPr>
          <w:rFonts w:asciiTheme="minorHAnsi" w:hAnsiTheme="minorHAnsi"/>
          <w:lang w:val="en-GB"/>
        </w:rPr>
      </w:pPr>
    </w:p>
    <w:p w:rsidR="002809F1" w:rsidRPr="007D4215" w:rsidRDefault="000349C9" w:rsidP="005F4E2F">
      <w:pPr>
        <w:spacing w:after="240" w:line="276" w:lineRule="auto"/>
        <w:ind w:left="709"/>
        <w:jc w:val="both"/>
        <w:rPr>
          <w:rFonts w:ascii="Book Antiqua" w:hAnsi="Book Antiqua"/>
          <w:color w:val="000000"/>
        </w:rPr>
      </w:pPr>
      <w:r w:rsidRPr="007D4215">
        <w:rPr>
          <w:rFonts w:ascii="Book Antiqua" w:hAnsi="Book Antiqua"/>
          <w:color w:val="000000"/>
        </w:rPr>
        <w:t>However, GETCO computes transmission loss as per methodology approved by the Hon’ble Commission in Order No. 990 /2010. In Table 10 of Tariff Petition by GETCO for Truing up of FY 2018-19, actual transmission loss for FY 2018-19 as per SLDC and as per revised methodology approved in Order no. 990/2010 both are mentioned. Actual transmission loss for FY 2018-19 as per SLDC in table 10 mentioned above matches with that submitted by the Petitioner.</w:t>
      </w:r>
    </w:p>
    <w:p w:rsidR="00D20D68" w:rsidRPr="005F4E2F" w:rsidRDefault="00D20D68">
      <w:pPr>
        <w:numPr>
          <w:ilvl w:val="0"/>
          <w:numId w:val="3"/>
        </w:numPr>
        <w:spacing w:after="240" w:line="276" w:lineRule="auto"/>
        <w:ind w:left="630" w:hanging="357"/>
        <w:jc w:val="both"/>
        <w:rPr>
          <w:b/>
          <w:bCs/>
          <w:color w:val="000000"/>
        </w:rPr>
      </w:pPr>
      <w:r w:rsidRPr="005F4E2F">
        <w:rPr>
          <w:rFonts w:ascii="Book Antiqua" w:hAnsi="Book Antiqua"/>
          <w:b/>
          <w:bCs/>
          <w:color w:val="000000"/>
        </w:rPr>
        <w:t>UGVCL should submit documentary proof for claiming PGCIL system losses of 504 MU for FY 2018-19.</w:t>
      </w:r>
    </w:p>
    <w:p w:rsidR="000E7F08" w:rsidRPr="005F4E2F" w:rsidRDefault="000E7F08" w:rsidP="005F4E2F">
      <w:pPr>
        <w:spacing w:after="240"/>
        <w:ind w:left="709"/>
        <w:jc w:val="both"/>
        <w:rPr>
          <w:rFonts w:ascii="Book Antiqua" w:hAnsi="Book Antiqua"/>
          <w:u w:val="single"/>
          <w:lang w:val="en-GB"/>
        </w:rPr>
      </w:pPr>
      <w:r w:rsidRPr="005F4E2F">
        <w:rPr>
          <w:rFonts w:ascii="Book Antiqua" w:hAnsi="Book Antiqua"/>
          <w:lang w:val="en-GB"/>
        </w:rPr>
        <w:t>Compliance:</w:t>
      </w:r>
      <w:r w:rsidR="002809F1" w:rsidRPr="005F4E2F">
        <w:rPr>
          <w:rFonts w:ascii="Book Antiqua" w:hAnsi="Book Antiqua"/>
          <w:lang w:val="en-GB"/>
        </w:rPr>
        <w:t xml:space="preserve"> -</w:t>
      </w:r>
    </w:p>
    <w:p w:rsidR="000E7F08" w:rsidRPr="007D4215" w:rsidRDefault="000E7F08" w:rsidP="000E7F08">
      <w:pPr>
        <w:spacing w:after="120" w:line="312" w:lineRule="auto"/>
        <w:ind w:left="709"/>
        <w:jc w:val="both"/>
        <w:rPr>
          <w:rFonts w:ascii="Book Antiqua" w:hAnsi="Book Antiqua"/>
          <w:lang w:val="en-GB"/>
        </w:rPr>
      </w:pPr>
      <w:r w:rsidRPr="007D4215">
        <w:rPr>
          <w:rFonts w:ascii="Book Antiqua" w:hAnsi="Book Antiqua"/>
          <w:lang w:val="en-GB"/>
        </w:rPr>
        <w:t xml:space="preserve">PGCIL System losses are applicable as notified by Regional Load Dispatch Centre (WRLDC) under CERC PoC Regulations. The losses notified by WRLDC is annexed herewith as </w:t>
      </w:r>
      <w:r w:rsidR="002809F1" w:rsidRPr="00B70940">
        <w:rPr>
          <w:rFonts w:ascii="Book Antiqua" w:hAnsi="Book Antiqua"/>
          <w:b/>
          <w:bCs/>
          <w:u w:val="single"/>
          <w:lang w:val="en-GB"/>
        </w:rPr>
        <w:t>Annexure</w:t>
      </w:r>
      <w:r w:rsidRPr="00B70940">
        <w:rPr>
          <w:rFonts w:ascii="Book Antiqua" w:hAnsi="Book Antiqua"/>
          <w:b/>
          <w:bCs/>
          <w:u w:val="single"/>
          <w:lang w:val="en-GB"/>
        </w:rPr>
        <w:t>-B</w:t>
      </w:r>
      <w:r w:rsidRPr="007D4215">
        <w:rPr>
          <w:rFonts w:ascii="Book Antiqua" w:hAnsi="Book Antiqua"/>
          <w:lang w:val="en-GB"/>
        </w:rPr>
        <w:t xml:space="preserve">. </w:t>
      </w:r>
    </w:p>
    <w:p w:rsidR="002809F1" w:rsidRPr="007D4215" w:rsidRDefault="000E7F08" w:rsidP="005F4E2F">
      <w:pPr>
        <w:spacing w:after="240" w:line="276" w:lineRule="auto"/>
        <w:ind w:left="709"/>
        <w:jc w:val="both"/>
        <w:rPr>
          <w:rFonts w:ascii="Book Antiqua" w:hAnsi="Book Antiqua"/>
          <w:lang w:val="en-GB"/>
        </w:rPr>
      </w:pPr>
      <w:r w:rsidRPr="007D4215">
        <w:rPr>
          <w:rFonts w:ascii="Book Antiqua" w:hAnsi="Book Antiqua"/>
          <w:lang w:val="en-GB"/>
        </w:rPr>
        <w:t xml:space="preserve">During FY 2018-19, power purchased by GUVNL through PGCIL System was 50743 MUs, wherefore system loss incurred annual is 1624.54 MU. Accordingly, PGCIL system </w:t>
      </w:r>
      <w:r w:rsidR="0068651F">
        <w:rPr>
          <w:rFonts w:ascii="Book Antiqua" w:hAnsi="Book Antiqua"/>
          <w:lang w:val="en-GB"/>
        </w:rPr>
        <w:t>l</w:t>
      </w:r>
      <w:r w:rsidRPr="007D4215">
        <w:rPr>
          <w:rFonts w:ascii="Book Antiqua" w:hAnsi="Book Antiqua"/>
          <w:lang w:val="en-GB"/>
        </w:rPr>
        <w:t>oss allocated to UGVCL is 504.</w:t>
      </w:r>
      <w:r w:rsidR="00FC62F5" w:rsidRPr="007D4215">
        <w:rPr>
          <w:rFonts w:ascii="Book Antiqua" w:hAnsi="Book Antiqua"/>
          <w:lang w:val="en-GB"/>
        </w:rPr>
        <w:t>18</w:t>
      </w:r>
      <w:r w:rsidRPr="007D4215">
        <w:rPr>
          <w:rFonts w:ascii="Book Antiqua" w:hAnsi="Book Antiqua"/>
          <w:lang w:val="en-GB"/>
        </w:rPr>
        <w:t xml:space="preserve"> MU.</w:t>
      </w:r>
    </w:p>
    <w:p w:rsidR="00D20D68" w:rsidRPr="005F4E2F" w:rsidRDefault="00D20D68" w:rsidP="005C597E">
      <w:pPr>
        <w:numPr>
          <w:ilvl w:val="0"/>
          <w:numId w:val="3"/>
        </w:numPr>
        <w:spacing w:after="240" w:line="276" w:lineRule="auto"/>
        <w:ind w:left="630" w:hanging="357"/>
        <w:jc w:val="both"/>
        <w:rPr>
          <w:b/>
          <w:bCs/>
          <w:color w:val="000000"/>
        </w:rPr>
      </w:pPr>
      <w:r w:rsidRPr="005F4E2F">
        <w:rPr>
          <w:rFonts w:ascii="Book Antiqua" w:hAnsi="Book Antiqua"/>
          <w:b/>
          <w:bCs/>
          <w:color w:val="000000"/>
        </w:rPr>
        <w:t>As regards power purchase expenses, UGVCL should submit</w:t>
      </w:r>
      <w:r w:rsidR="00B57332" w:rsidRPr="005F4E2F">
        <w:rPr>
          <w:rFonts w:ascii="Book Antiqua" w:hAnsi="Book Antiqua"/>
          <w:b/>
          <w:bCs/>
          <w:color w:val="000000"/>
        </w:rPr>
        <w:t xml:space="preserve"> GUVNL</w:t>
      </w:r>
    </w:p>
    <w:p w:rsidR="00D20D68" w:rsidRPr="005F4E2F" w:rsidRDefault="00D20D68" w:rsidP="000349C9">
      <w:pPr>
        <w:numPr>
          <w:ilvl w:val="1"/>
          <w:numId w:val="4"/>
        </w:numPr>
        <w:spacing w:after="240" w:line="276" w:lineRule="auto"/>
        <w:ind w:hanging="357"/>
        <w:jc w:val="both"/>
        <w:rPr>
          <w:rFonts w:eastAsia="Times New Roman"/>
          <w:b/>
          <w:bCs/>
          <w:color w:val="000000"/>
        </w:rPr>
      </w:pPr>
      <w:r w:rsidRPr="005F4E2F">
        <w:rPr>
          <w:rFonts w:ascii="Book Antiqua" w:eastAsia="Times New Roman" w:hAnsi="Book Antiqua"/>
          <w:b/>
          <w:bCs/>
          <w:color w:val="000000"/>
        </w:rPr>
        <w:t>source-wise power purchase per unit cost approved in MYT Order and source wise-per unit power purchase cost now claimed in Truing-up.</w:t>
      </w:r>
    </w:p>
    <w:p w:rsidR="00303522" w:rsidRPr="007D4215" w:rsidRDefault="00303522" w:rsidP="00303522">
      <w:pPr>
        <w:spacing w:after="240" w:line="276" w:lineRule="auto"/>
        <w:ind w:left="142"/>
        <w:jc w:val="both"/>
        <w:rPr>
          <w:rFonts w:ascii="Book Antiqua" w:hAnsi="Book Antiqua"/>
          <w:b/>
          <w:bCs/>
          <w:i/>
          <w:iCs/>
          <w:lang w:val="en-GB"/>
        </w:rPr>
      </w:pPr>
      <w:r w:rsidRPr="005F4E2F">
        <w:rPr>
          <w:rFonts w:ascii="Book Antiqua" w:hAnsi="Book Antiqua"/>
          <w:lang w:val="en-GB"/>
        </w:rPr>
        <w:t>Compliance:</w:t>
      </w:r>
      <w:r w:rsidR="002809F1" w:rsidRPr="007D4215">
        <w:rPr>
          <w:rFonts w:ascii="Book Antiqua" w:hAnsi="Book Antiqua"/>
          <w:b/>
          <w:bCs/>
          <w:i/>
          <w:iCs/>
          <w:lang w:val="en-GB"/>
        </w:rPr>
        <w:t>-</w:t>
      </w:r>
    </w:p>
    <w:p w:rsidR="002809F1" w:rsidRDefault="00303522" w:rsidP="00C244F6">
      <w:pPr>
        <w:spacing w:after="240" w:line="276" w:lineRule="auto"/>
        <w:ind w:left="709"/>
        <w:jc w:val="both"/>
        <w:rPr>
          <w:rFonts w:ascii="Book Antiqua" w:eastAsia="Times New Roman" w:hAnsi="Book Antiqua"/>
          <w:color w:val="000000"/>
        </w:rPr>
      </w:pPr>
      <w:r w:rsidRPr="007D4215">
        <w:rPr>
          <w:rFonts w:ascii="Book Antiqua" w:eastAsia="Times New Roman" w:hAnsi="Book Antiqua"/>
          <w:color w:val="000000"/>
        </w:rPr>
        <w:t xml:space="preserve">The details of source wise power purchase statement i.e. Power purchase cost approved in the MYT Order dated 31.3.2017 and Actual power purchase cost for FY 2018-19 is annexed herewith as per </w:t>
      </w:r>
      <w:r w:rsidR="002809F1" w:rsidRPr="0068651F">
        <w:rPr>
          <w:rFonts w:ascii="Book Antiqua" w:eastAsia="Times New Roman" w:hAnsi="Book Antiqua"/>
          <w:b/>
          <w:bCs/>
          <w:color w:val="000000"/>
          <w:u w:val="single"/>
        </w:rPr>
        <w:t>Annexure</w:t>
      </w:r>
      <w:r w:rsidRPr="0068651F">
        <w:rPr>
          <w:rFonts w:ascii="Book Antiqua" w:eastAsia="Times New Roman" w:hAnsi="Book Antiqua"/>
          <w:b/>
          <w:bCs/>
          <w:color w:val="000000"/>
          <w:u w:val="single"/>
        </w:rPr>
        <w:t>-</w:t>
      </w:r>
      <w:r w:rsidR="00E52C36" w:rsidRPr="0068651F">
        <w:rPr>
          <w:rFonts w:ascii="Book Antiqua" w:eastAsia="Times New Roman" w:hAnsi="Book Antiqua"/>
          <w:b/>
          <w:bCs/>
          <w:color w:val="000000"/>
          <w:u w:val="single"/>
        </w:rPr>
        <w:t>C</w:t>
      </w:r>
      <w:r w:rsidRPr="007D4215">
        <w:rPr>
          <w:rFonts w:ascii="Book Antiqua" w:eastAsia="Times New Roman" w:hAnsi="Book Antiqua"/>
          <w:color w:val="000000"/>
        </w:rPr>
        <w:t>.</w:t>
      </w:r>
    </w:p>
    <w:p w:rsidR="000C28EA" w:rsidRPr="007D4215" w:rsidRDefault="000C28EA" w:rsidP="00C244F6">
      <w:pPr>
        <w:spacing w:after="240" w:line="276" w:lineRule="auto"/>
        <w:ind w:left="709"/>
        <w:jc w:val="both"/>
        <w:rPr>
          <w:rFonts w:ascii="Book Antiqua" w:eastAsia="Times New Roman" w:hAnsi="Book Antiqua"/>
          <w:color w:val="000000"/>
        </w:rPr>
      </w:pPr>
    </w:p>
    <w:p w:rsidR="00D20D68" w:rsidRPr="00C244F6" w:rsidRDefault="00D20D68" w:rsidP="00303522">
      <w:pPr>
        <w:numPr>
          <w:ilvl w:val="1"/>
          <w:numId w:val="4"/>
        </w:numPr>
        <w:spacing w:after="240" w:line="276" w:lineRule="auto"/>
        <w:jc w:val="both"/>
        <w:rPr>
          <w:rFonts w:eastAsia="Times New Roman"/>
          <w:b/>
          <w:bCs/>
          <w:color w:val="000000"/>
        </w:rPr>
      </w:pPr>
      <w:r w:rsidRPr="00C244F6">
        <w:rPr>
          <w:rFonts w:ascii="Book Antiqua" w:eastAsia="Times New Roman" w:hAnsi="Book Antiqua"/>
          <w:b/>
          <w:bCs/>
          <w:color w:val="000000"/>
        </w:rPr>
        <w:lastRenderedPageBreak/>
        <w:t>UGVCL should provide source-wise reasoning for increase/decrease in per unit cost of power purchase with respect to the approved rates.</w:t>
      </w:r>
    </w:p>
    <w:p w:rsidR="00303522" w:rsidRPr="00C244F6" w:rsidRDefault="00303522" w:rsidP="00303522">
      <w:pPr>
        <w:spacing w:after="240"/>
        <w:ind w:left="142"/>
        <w:jc w:val="both"/>
        <w:rPr>
          <w:rFonts w:ascii="Book Antiqua" w:eastAsia="Times New Roman" w:hAnsi="Book Antiqua"/>
          <w:color w:val="000000"/>
        </w:rPr>
      </w:pPr>
      <w:r w:rsidRPr="00C244F6">
        <w:rPr>
          <w:rFonts w:ascii="Book Antiqua" w:eastAsia="Times New Roman" w:hAnsi="Book Antiqua"/>
          <w:color w:val="000000"/>
        </w:rPr>
        <w:t>Compliance:</w:t>
      </w:r>
      <w:r w:rsidR="002809F1" w:rsidRPr="00C244F6">
        <w:rPr>
          <w:rFonts w:ascii="Book Antiqua" w:eastAsia="Times New Roman" w:hAnsi="Book Antiqua"/>
          <w:color w:val="000000"/>
        </w:rPr>
        <w:t xml:space="preserve"> -</w:t>
      </w:r>
    </w:p>
    <w:p w:rsidR="00303522" w:rsidRPr="007D4215" w:rsidRDefault="00303522" w:rsidP="005C597E">
      <w:pPr>
        <w:pStyle w:val="ListParagraph"/>
        <w:spacing w:after="240"/>
        <w:ind w:left="709"/>
        <w:jc w:val="both"/>
        <w:rPr>
          <w:rFonts w:ascii="Book Antiqua" w:eastAsia="Times New Roman" w:hAnsi="Book Antiqua" w:cs="Calibri"/>
          <w:color w:val="000000"/>
          <w:sz w:val="24"/>
          <w:szCs w:val="24"/>
          <w:lang w:val="en-IN"/>
        </w:rPr>
      </w:pPr>
      <w:r w:rsidRPr="007D4215">
        <w:rPr>
          <w:rFonts w:ascii="Book Antiqua" w:eastAsia="Times New Roman" w:hAnsi="Book Antiqua" w:cs="Calibri"/>
          <w:color w:val="000000"/>
          <w:sz w:val="24"/>
          <w:szCs w:val="24"/>
          <w:lang w:val="en-IN"/>
        </w:rPr>
        <w:t xml:space="preserve">The details of increase / decrease in the actual power purchase cost for FY 2018-19 vis-à-vis approved power purchase cost is included in </w:t>
      </w:r>
      <w:r w:rsidR="002809F1" w:rsidRPr="00C856C0">
        <w:rPr>
          <w:rFonts w:ascii="Book Antiqua" w:eastAsia="Times New Roman" w:hAnsi="Book Antiqua" w:cs="Calibri"/>
          <w:b/>
          <w:bCs/>
          <w:color w:val="000000"/>
          <w:sz w:val="24"/>
          <w:szCs w:val="24"/>
          <w:u w:val="single"/>
          <w:lang w:val="en-IN"/>
        </w:rPr>
        <w:t>Annexure</w:t>
      </w:r>
      <w:r w:rsidRPr="00C856C0">
        <w:rPr>
          <w:rFonts w:ascii="Book Antiqua" w:eastAsia="Times New Roman" w:hAnsi="Book Antiqua" w:cs="Calibri"/>
          <w:b/>
          <w:bCs/>
          <w:color w:val="000000"/>
          <w:sz w:val="24"/>
          <w:szCs w:val="24"/>
          <w:u w:val="single"/>
          <w:lang w:val="en-IN"/>
        </w:rPr>
        <w:t>-</w:t>
      </w:r>
      <w:r w:rsidR="00E52C36" w:rsidRPr="00C856C0">
        <w:rPr>
          <w:rFonts w:ascii="Book Antiqua" w:eastAsia="Times New Roman" w:hAnsi="Book Antiqua" w:cs="Calibri"/>
          <w:b/>
          <w:bCs/>
          <w:color w:val="000000"/>
          <w:sz w:val="24"/>
          <w:szCs w:val="24"/>
          <w:u w:val="single"/>
          <w:lang w:val="en-IN"/>
        </w:rPr>
        <w:t>C</w:t>
      </w:r>
      <w:r w:rsidRPr="007D4215">
        <w:rPr>
          <w:rFonts w:ascii="Book Antiqua" w:eastAsia="Times New Roman" w:hAnsi="Book Antiqua" w:cs="Calibri"/>
          <w:color w:val="000000"/>
          <w:sz w:val="24"/>
          <w:szCs w:val="24"/>
          <w:lang w:val="en-IN"/>
        </w:rPr>
        <w:t xml:space="preserve"> above.</w:t>
      </w:r>
    </w:p>
    <w:p w:rsidR="002809F1" w:rsidRPr="007D4215" w:rsidRDefault="00303522" w:rsidP="00C244F6">
      <w:pPr>
        <w:spacing w:after="240" w:line="276" w:lineRule="auto"/>
        <w:ind w:left="709"/>
        <w:jc w:val="both"/>
        <w:rPr>
          <w:rFonts w:ascii="Book Antiqua" w:eastAsia="Times New Roman" w:hAnsi="Book Antiqua"/>
          <w:color w:val="000000"/>
        </w:rPr>
      </w:pPr>
      <w:r w:rsidRPr="007D4215">
        <w:rPr>
          <w:rFonts w:ascii="Book Antiqua" w:eastAsia="Times New Roman" w:hAnsi="Book Antiqua"/>
          <w:color w:val="000000"/>
        </w:rPr>
        <w:t xml:space="preserve">It is to state that the approved power purchase cost by </w:t>
      </w:r>
      <w:r w:rsidR="00C856C0">
        <w:rPr>
          <w:rFonts w:ascii="Book Antiqua" w:eastAsia="Times New Roman" w:hAnsi="Book Antiqua"/>
          <w:color w:val="000000"/>
        </w:rPr>
        <w:t xml:space="preserve">the </w:t>
      </w:r>
      <w:r w:rsidRPr="007D4215">
        <w:rPr>
          <w:rFonts w:ascii="Book Antiqua" w:eastAsia="Times New Roman" w:hAnsi="Book Antiqua"/>
          <w:color w:val="000000"/>
        </w:rPr>
        <w:t>Hon’ble Commission for FY 2018-19 in the order dated 31.3.2017 is based on actual power purchase cost of FY 2015-16. Moreover, in case of power stations of central Sector and GSECL, the power purchase is as per the respective order of Hon’ble CERC/GERC. Therefore increase/ decrease in power purchase cost in respect of these stations is due to change in approved parameters and increase/ decrease in landed cost of fuel. Further, rate for purchase of power from RE based projects is as per the tariff determined by Hon’ble Commission / adopted by Hon’ble Commission. In respect of other stations, mainly there is increase in variable cost and reasons for the same are as under:</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276"/>
        <w:gridCol w:w="1559"/>
        <w:gridCol w:w="1559"/>
        <w:gridCol w:w="3544"/>
      </w:tblGrid>
      <w:tr w:rsidR="00303522" w:rsidRPr="003250F1" w:rsidTr="000C28EA">
        <w:trPr>
          <w:tblHeader/>
        </w:trPr>
        <w:tc>
          <w:tcPr>
            <w:tcW w:w="567" w:type="dxa"/>
            <w:shd w:val="clear" w:color="auto" w:fill="FABF8F" w:themeFill="accent6" w:themeFillTint="99"/>
          </w:tcPr>
          <w:p w:rsidR="00303522" w:rsidRPr="00AA40AF" w:rsidRDefault="00303522" w:rsidP="002F2E28">
            <w:pPr>
              <w:spacing w:after="120"/>
              <w:jc w:val="center"/>
              <w:rPr>
                <w:rFonts w:ascii="Book Antiqua" w:eastAsia="Times New Roman" w:hAnsi="Book Antiqua" w:cs="Arial"/>
                <w:b/>
                <w:bCs/>
                <w:color w:val="000000"/>
              </w:rPr>
            </w:pPr>
            <w:r w:rsidRPr="00AA40AF">
              <w:rPr>
                <w:rFonts w:ascii="Book Antiqua" w:eastAsia="Times New Roman" w:hAnsi="Book Antiqua" w:cs="Arial"/>
                <w:b/>
                <w:bCs/>
                <w:color w:val="000000"/>
                <w:sz w:val="22"/>
                <w:szCs w:val="22"/>
              </w:rPr>
              <w:t>No</w:t>
            </w:r>
          </w:p>
        </w:tc>
        <w:tc>
          <w:tcPr>
            <w:tcW w:w="1276" w:type="dxa"/>
            <w:shd w:val="clear" w:color="auto" w:fill="FABF8F" w:themeFill="accent6" w:themeFillTint="99"/>
          </w:tcPr>
          <w:p w:rsidR="00303522" w:rsidRPr="00AA40AF" w:rsidRDefault="00303522" w:rsidP="002F2E28">
            <w:pPr>
              <w:spacing w:after="120"/>
              <w:jc w:val="center"/>
              <w:rPr>
                <w:rFonts w:ascii="Book Antiqua" w:eastAsia="Times New Roman" w:hAnsi="Book Antiqua" w:cs="Arial"/>
                <w:b/>
                <w:bCs/>
                <w:color w:val="000000"/>
              </w:rPr>
            </w:pPr>
            <w:r w:rsidRPr="00AA40AF">
              <w:rPr>
                <w:rFonts w:ascii="Book Antiqua" w:eastAsia="Times New Roman" w:hAnsi="Book Antiqua" w:cs="Arial"/>
                <w:b/>
                <w:bCs/>
                <w:color w:val="000000"/>
                <w:sz w:val="22"/>
                <w:szCs w:val="22"/>
              </w:rPr>
              <w:t>Station</w:t>
            </w:r>
          </w:p>
        </w:tc>
        <w:tc>
          <w:tcPr>
            <w:tcW w:w="1559" w:type="dxa"/>
            <w:shd w:val="clear" w:color="auto" w:fill="FABF8F" w:themeFill="accent6" w:themeFillTint="99"/>
          </w:tcPr>
          <w:p w:rsidR="00303522" w:rsidRPr="00AA40AF" w:rsidRDefault="00303522" w:rsidP="002F2E28">
            <w:pPr>
              <w:spacing w:after="120"/>
              <w:jc w:val="center"/>
              <w:rPr>
                <w:rFonts w:ascii="Book Antiqua" w:eastAsia="Times New Roman" w:hAnsi="Book Antiqua" w:cs="Arial"/>
                <w:b/>
                <w:bCs/>
                <w:color w:val="000000"/>
              </w:rPr>
            </w:pPr>
            <w:r w:rsidRPr="00AA40AF">
              <w:rPr>
                <w:rFonts w:ascii="Book Antiqua" w:eastAsia="Times New Roman" w:hAnsi="Book Antiqua" w:cs="Arial"/>
                <w:b/>
                <w:bCs/>
                <w:color w:val="000000"/>
                <w:sz w:val="22"/>
                <w:szCs w:val="22"/>
              </w:rPr>
              <w:t>Approved Variable cost (Rs/Unit)</w:t>
            </w:r>
          </w:p>
        </w:tc>
        <w:tc>
          <w:tcPr>
            <w:tcW w:w="1559" w:type="dxa"/>
            <w:shd w:val="clear" w:color="auto" w:fill="FABF8F" w:themeFill="accent6" w:themeFillTint="99"/>
          </w:tcPr>
          <w:p w:rsidR="00303522" w:rsidRPr="00AA40AF" w:rsidRDefault="00303522" w:rsidP="002F2E28">
            <w:pPr>
              <w:spacing w:after="120"/>
              <w:jc w:val="center"/>
              <w:rPr>
                <w:rFonts w:ascii="Book Antiqua" w:eastAsia="Times New Roman" w:hAnsi="Book Antiqua" w:cs="Arial"/>
                <w:b/>
                <w:bCs/>
                <w:color w:val="000000"/>
              </w:rPr>
            </w:pPr>
            <w:r w:rsidRPr="00AA40AF">
              <w:rPr>
                <w:rFonts w:ascii="Book Antiqua" w:eastAsia="Times New Roman" w:hAnsi="Book Antiqua" w:cs="Arial"/>
                <w:b/>
                <w:bCs/>
                <w:color w:val="000000"/>
                <w:sz w:val="22"/>
                <w:szCs w:val="22"/>
              </w:rPr>
              <w:t>Actual Variable cost (Rs/Unit)</w:t>
            </w:r>
          </w:p>
        </w:tc>
        <w:tc>
          <w:tcPr>
            <w:tcW w:w="3544" w:type="dxa"/>
            <w:shd w:val="clear" w:color="auto" w:fill="FABF8F" w:themeFill="accent6" w:themeFillTint="99"/>
          </w:tcPr>
          <w:p w:rsidR="00303522" w:rsidRPr="00AA40AF" w:rsidRDefault="00303522" w:rsidP="002F2E28">
            <w:pPr>
              <w:spacing w:after="120"/>
              <w:jc w:val="center"/>
              <w:rPr>
                <w:rFonts w:ascii="Book Antiqua" w:eastAsia="Times New Roman" w:hAnsi="Book Antiqua" w:cs="Arial"/>
                <w:b/>
                <w:bCs/>
                <w:color w:val="000000"/>
              </w:rPr>
            </w:pPr>
            <w:r w:rsidRPr="00AA40AF">
              <w:rPr>
                <w:rFonts w:ascii="Book Antiqua" w:eastAsia="Times New Roman" w:hAnsi="Book Antiqua" w:cs="Arial"/>
                <w:b/>
                <w:bCs/>
                <w:color w:val="000000"/>
                <w:sz w:val="22"/>
                <w:szCs w:val="22"/>
              </w:rPr>
              <w:t>Reason</w:t>
            </w:r>
          </w:p>
        </w:tc>
      </w:tr>
      <w:tr w:rsidR="006216F6" w:rsidRPr="003250F1" w:rsidTr="000C28EA">
        <w:trPr>
          <w:tblHeader/>
        </w:trPr>
        <w:tc>
          <w:tcPr>
            <w:tcW w:w="567" w:type="dxa"/>
            <w:shd w:val="clear" w:color="auto" w:fill="FABF8F" w:themeFill="accent6" w:themeFillTint="99"/>
          </w:tcPr>
          <w:p w:rsidR="006216F6" w:rsidRPr="00AA40AF" w:rsidRDefault="006216F6" w:rsidP="002F2E28">
            <w:pPr>
              <w:spacing w:after="120"/>
              <w:jc w:val="center"/>
              <w:rPr>
                <w:rFonts w:ascii="Book Antiqua" w:eastAsia="Times New Roman" w:hAnsi="Book Antiqua" w:cs="Arial"/>
                <w:b/>
                <w:bCs/>
                <w:color w:val="000000"/>
              </w:rPr>
            </w:pPr>
          </w:p>
        </w:tc>
        <w:tc>
          <w:tcPr>
            <w:tcW w:w="1276" w:type="dxa"/>
            <w:shd w:val="clear" w:color="auto" w:fill="FABF8F" w:themeFill="accent6" w:themeFillTint="99"/>
          </w:tcPr>
          <w:p w:rsidR="006216F6" w:rsidRPr="00AA40AF" w:rsidRDefault="006216F6" w:rsidP="002F2E28">
            <w:pPr>
              <w:spacing w:after="120"/>
              <w:jc w:val="center"/>
              <w:rPr>
                <w:rFonts w:ascii="Book Antiqua" w:eastAsia="Times New Roman" w:hAnsi="Book Antiqua" w:cs="Arial"/>
                <w:b/>
                <w:bCs/>
                <w:color w:val="000000"/>
              </w:rPr>
            </w:pPr>
          </w:p>
        </w:tc>
        <w:tc>
          <w:tcPr>
            <w:tcW w:w="1559" w:type="dxa"/>
            <w:shd w:val="clear" w:color="auto" w:fill="FABF8F" w:themeFill="accent6" w:themeFillTint="99"/>
          </w:tcPr>
          <w:p w:rsidR="006216F6" w:rsidRPr="00AA40AF" w:rsidRDefault="006216F6" w:rsidP="002F2E28">
            <w:pPr>
              <w:spacing w:after="120"/>
              <w:jc w:val="center"/>
              <w:rPr>
                <w:rFonts w:ascii="Book Antiqua" w:eastAsia="Times New Roman" w:hAnsi="Book Antiqua" w:cs="Arial"/>
                <w:b/>
                <w:bCs/>
                <w:color w:val="000000"/>
              </w:rPr>
            </w:pPr>
          </w:p>
        </w:tc>
        <w:tc>
          <w:tcPr>
            <w:tcW w:w="1559" w:type="dxa"/>
            <w:shd w:val="clear" w:color="auto" w:fill="FABF8F" w:themeFill="accent6" w:themeFillTint="99"/>
          </w:tcPr>
          <w:p w:rsidR="006216F6" w:rsidRPr="00AA40AF" w:rsidRDefault="006216F6" w:rsidP="002F2E28">
            <w:pPr>
              <w:spacing w:after="120"/>
              <w:jc w:val="center"/>
              <w:rPr>
                <w:rFonts w:ascii="Book Antiqua" w:eastAsia="Times New Roman" w:hAnsi="Book Antiqua" w:cs="Arial"/>
                <w:b/>
                <w:bCs/>
                <w:color w:val="000000"/>
              </w:rPr>
            </w:pPr>
          </w:p>
        </w:tc>
        <w:tc>
          <w:tcPr>
            <w:tcW w:w="3544" w:type="dxa"/>
            <w:shd w:val="clear" w:color="auto" w:fill="FABF8F" w:themeFill="accent6" w:themeFillTint="99"/>
          </w:tcPr>
          <w:p w:rsidR="006216F6" w:rsidRPr="00AA40AF" w:rsidRDefault="006216F6" w:rsidP="002F2E28">
            <w:pPr>
              <w:spacing w:after="120"/>
              <w:jc w:val="center"/>
              <w:rPr>
                <w:rFonts w:ascii="Book Antiqua" w:eastAsia="Times New Roman" w:hAnsi="Book Antiqua" w:cs="Arial"/>
                <w:b/>
                <w:bCs/>
                <w:color w:val="000000"/>
              </w:rPr>
            </w:pPr>
          </w:p>
        </w:tc>
      </w:tr>
      <w:tr w:rsidR="00303522" w:rsidRPr="003250F1" w:rsidTr="000C28EA">
        <w:tc>
          <w:tcPr>
            <w:tcW w:w="567" w:type="dxa"/>
            <w:shd w:val="clear" w:color="auto" w:fill="auto"/>
            <w:vAlign w:val="center"/>
          </w:tcPr>
          <w:p w:rsidR="00303522" w:rsidRPr="00AA40AF" w:rsidRDefault="00303522" w:rsidP="006216F6">
            <w:pPr>
              <w:rPr>
                <w:rFonts w:ascii="Book Antiqua" w:eastAsia="Times New Roman" w:hAnsi="Book Antiqua" w:cs="Arial"/>
                <w:color w:val="000000"/>
              </w:rPr>
            </w:pPr>
            <w:r w:rsidRPr="00AA40AF">
              <w:rPr>
                <w:rFonts w:ascii="Book Antiqua" w:eastAsia="Times New Roman" w:hAnsi="Book Antiqua" w:cs="Arial"/>
                <w:color w:val="000000"/>
                <w:sz w:val="22"/>
                <w:szCs w:val="22"/>
              </w:rPr>
              <w:t>1</w:t>
            </w:r>
          </w:p>
        </w:tc>
        <w:tc>
          <w:tcPr>
            <w:tcW w:w="1276" w:type="dxa"/>
            <w:shd w:val="clear" w:color="auto" w:fill="auto"/>
            <w:vAlign w:val="center"/>
          </w:tcPr>
          <w:p w:rsidR="00303522" w:rsidRPr="00AA40AF" w:rsidRDefault="00303522" w:rsidP="006216F6">
            <w:pPr>
              <w:rPr>
                <w:rFonts w:ascii="Book Antiqua" w:eastAsia="Times New Roman" w:hAnsi="Book Antiqua" w:cs="Arial"/>
                <w:color w:val="000000"/>
              </w:rPr>
            </w:pPr>
            <w:r w:rsidRPr="00AA40AF">
              <w:rPr>
                <w:rFonts w:ascii="Book Antiqua" w:eastAsia="Times New Roman" w:hAnsi="Book Antiqua" w:cs="Arial"/>
                <w:color w:val="000000"/>
                <w:sz w:val="22"/>
                <w:szCs w:val="22"/>
              </w:rPr>
              <w:t>CLP India</w:t>
            </w:r>
          </w:p>
        </w:tc>
        <w:tc>
          <w:tcPr>
            <w:tcW w:w="1559" w:type="dxa"/>
            <w:shd w:val="clear" w:color="auto" w:fill="auto"/>
            <w:vAlign w:val="center"/>
          </w:tcPr>
          <w:p w:rsidR="00303522" w:rsidRPr="00AA40AF" w:rsidRDefault="00303522">
            <w:pPr>
              <w:jc w:val="center"/>
              <w:rPr>
                <w:rFonts w:ascii="Book Antiqua" w:hAnsi="Book Antiqua" w:cs="Arial"/>
                <w:color w:val="000000"/>
              </w:rPr>
            </w:pPr>
            <w:r w:rsidRPr="00AA40AF">
              <w:rPr>
                <w:rFonts w:ascii="Book Antiqua" w:hAnsi="Book Antiqua" w:cs="Arial"/>
                <w:color w:val="000000"/>
                <w:sz w:val="22"/>
                <w:szCs w:val="22"/>
              </w:rPr>
              <w:t>3.20</w:t>
            </w:r>
          </w:p>
        </w:tc>
        <w:tc>
          <w:tcPr>
            <w:tcW w:w="1559" w:type="dxa"/>
            <w:shd w:val="clear" w:color="auto" w:fill="auto"/>
            <w:vAlign w:val="center"/>
          </w:tcPr>
          <w:p w:rsidR="00303522" w:rsidRPr="00AA40AF" w:rsidRDefault="00303522">
            <w:pPr>
              <w:jc w:val="center"/>
              <w:rPr>
                <w:rFonts w:ascii="Book Antiqua" w:hAnsi="Book Antiqua" w:cs="Arial"/>
                <w:color w:val="000000"/>
              </w:rPr>
            </w:pPr>
            <w:r w:rsidRPr="00AA40AF">
              <w:rPr>
                <w:rFonts w:ascii="Book Antiqua" w:hAnsi="Book Antiqua" w:cs="Arial"/>
                <w:color w:val="000000"/>
                <w:sz w:val="22"/>
                <w:szCs w:val="22"/>
              </w:rPr>
              <w:t>5.34</w:t>
            </w:r>
          </w:p>
        </w:tc>
        <w:tc>
          <w:tcPr>
            <w:tcW w:w="3544" w:type="dxa"/>
            <w:vMerge w:val="restart"/>
            <w:shd w:val="clear" w:color="auto" w:fill="auto"/>
          </w:tcPr>
          <w:p w:rsidR="00303522" w:rsidRPr="00AA40AF" w:rsidRDefault="00303522" w:rsidP="005C597E">
            <w:pPr>
              <w:jc w:val="both"/>
              <w:rPr>
                <w:rFonts w:ascii="Book Antiqua" w:eastAsia="Times New Roman" w:hAnsi="Book Antiqua" w:cs="Arial"/>
                <w:color w:val="000000"/>
              </w:rPr>
            </w:pPr>
            <w:r w:rsidRPr="00AA40AF">
              <w:rPr>
                <w:rFonts w:ascii="Book Antiqua" w:eastAsia="Times New Roman" w:hAnsi="Book Antiqua" w:cs="Arial"/>
                <w:color w:val="000000"/>
                <w:sz w:val="22"/>
                <w:szCs w:val="22"/>
              </w:rPr>
              <w:t>Due to increase in Gas price as compared to FY 2015-16</w:t>
            </w:r>
          </w:p>
        </w:tc>
      </w:tr>
      <w:tr w:rsidR="00303522" w:rsidRPr="003250F1" w:rsidTr="000C28EA">
        <w:tc>
          <w:tcPr>
            <w:tcW w:w="567" w:type="dxa"/>
            <w:shd w:val="clear" w:color="auto" w:fill="auto"/>
            <w:vAlign w:val="center"/>
          </w:tcPr>
          <w:p w:rsidR="00303522" w:rsidRPr="00AA40AF" w:rsidRDefault="00303522" w:rsidP="006216F6">
            <w:pPr>
              <w:rPr>
                <w:rFonts w:ascii="Book Antiqua" w:eastAsia="Times New Roman" w:hAnsi="Book Antiqua" w:cs="Arial"/>
                <w:color w:val="000000"/>
              </w:rPr>
            </w:pPr>
            <w:r w:rsidRPr="00AA40AF">
              <w:rPr>
                <w:rFonts w:ascii="Book Antiqua" w:eastAsia="Times New Roman" w:hAnsi="Book Antiqua" w:cs="Arial"/>
                <w:color w:val="000000"/>
                <w:sz w:val="22"/>
                <w:szCs w:val="22"/>
              </w:rPr>
              <w:t>2</w:t>
            </w:r>
          </w:p>
        </w:tc>
        <w:tc>
          <w:tcPr>
            <w:tcW w:w="1276" w:type="dxa"/>
            <w:shd w:val="clear" w:color="auto" w:fill="auto"/>
            <w:vAlign w:val="center"/>
          </w:tcPr>
          <w:p w:rsidR="00303522" w:rsidRPr="00AA40AF" w:rsidRDefault="00303522" w:rsidP="006216F6">
            <w:pPr>
              <w:rPr>
                <w:rFonts w:ascii="Book Antiqua" w:eastAsia="Times New Roman" w:hAnsi="Book Antiqua" w:cs="Arial"/>
                <w:color w:val="000000"/>
              </w:rPr>
            </w:pPr>
            <w:r w:rsidRPr="00AA40AF">
              <w:rPr>
                <w:rFonts w:ascii="Book Antiqua" w:eastAsia="Times New Roman" w:hAnsi="Book Antiqua" w:cs="Arial"/>
                <w:color w:val="000000"/>
                <w:sz w:val="22"/>
                <w:szCs w:val="22"/>
              </w:rPr>
              <w:t>GSEG</w:t>
            </w:r>
          </w:p>
        </w:tc>
        <w:tc>
          <w:tcPr>
            <w:tcW w:w="1559" w:type="dxa"/>
            <w:shd w:val="clear" w:color="auto" w:fill="auto"/>
            <w:vAlign w:val="center"/>
          </w:tcPr>
          <w:p w:rsidR="00303522" w:rsidRPr="00AA40AF" w:rsidRDefault="00303522">
            <w:pPr>
              <w:jc w:val="center"/>
              <w:rPr>
                <w:rFonts w:ascii="Book Antiqua" w:hAnsi="Book Antiqua" w:cs="Arial"/>
                <w:color w:val="000000"/>
              </w:rPr>
            </w:pPr>
            <w:r w:rsidRPr="00AA40AF">
              <w:rPr>
                <w:rFonts w:ascii="Book Antiqua" w:hAnsi="Book Antiqua" w:cs="Arial"/>
                <w:color w:val="000000"/>
                <w:sz w:val="22"/>
                <w:szCs w:val="22"/>
              </w:rPr>
              <w:t>2.59</w:t>
            </w:r>
          </w:p>
        </w:tc>
        <w:tc>
          <w:tcPr>
            <w:tcW w:w="1559" w:type="dxa"/>
            <w:shd w:val="clear" w:color="auto" w:fill="auto"/>
            <w:vAlign w:val="center"/>
          </w:tcPr>
          <w:p w:rsidR="00303522" w:rsidRPr="00AA40AF" w:rsidRDefault="00303522">
            <w:pPr>
              <w:jc w:val="center"/>
              <w:rPr>
                <w:rFonts w:ascii="Book Antiqua" w:hAnsi="Book Antiqua" w:cs="Arial"/>
                <w:color w:val="000000"/>
              </w:rPr>
            </w:pPr>
            <w:r w:rsidRPr="00AA40AF">
              <w:rPr>
                <w:rFonts w:ascii="Book Antiqua" w:hAnsi="Book Antiqua" w:cs="Arial"/>
                <w:color w:val="000000"/>
                <w:sz w:val="22"/>
                <w:szCs w:val="22"/>
              </w:rPr>
              <w:t>7.49</w:t>
            </w:r>
          </w:p>
        </w:tc>
        <w:tc>
          <w:tcPr>
            <w:tcW w:w="3544" w:type="dxa"/>
            <w:vMerge/>
            <w:shd w:val="clear" w:color="auto" w:fill="auto"/>
          </w:tcPr>
          <w:p w:rsidR="00303522" w:rsidRPr="00AA40AF" w:rsidRDefault="00303522" w:rsidP="005C597E">
            <w:pPr>
              <w:jc w:val="both"/>
              <w:rPr>
                <w:rFonts w:ascii="Book Antiqua" w:eastAsia="Times New Roman" w:hAnsi="Book Antiqua" w:cs="Arial"/>
                <w:color w:val="000000"/>
              </w:rPr>
            </w:pPr>
          </w:p>
        </w:tc>
      </w:tr>
      <w:tr w:rsidR="00303522" w:rsidRPr="003250F1" w:rsidTr="000C28EA">
        <w:tc>
          <w:tcPr>
            <w:tcW w:w="567" w:type="dxa"/>
            <w:shd w:val="clear" w:color="auto" w:fill="auto"/>
            <w:vAlign w:val="center"/>
          </w:tcPr>
          <w:p w:rsidR="00303522" w:rsidRPr="00AA40AF" w:rsidRDefault="00303522" w:rsidP="006216F6">
            <w:pPr>
              <w:rPr>
                <w:rFonts w:ascii="Book Antiqua" w:eastAsia="Times New Roman" w:hAnsi="Book Antiqua" w:cs="Arial"/>
                <w:color w:val="000000"/>
              </w:rPr>
            </w:pPr>
            <w:r w:rsidRPr="00AA40AF">
              <w:rPr>
                <w:rFonts w:ascii="Book Antiqua" w:eastAsia="Times New Roman" w:hAnsi="Book Antiqua" w:cs="Arial"/>
                <w:color w:val="000000"/>
                <w:sz w:val="22"/>
                <w:szCs w:val="22"/>
              </w:rPr>
              <w:t>3</w:t>
            </w:r>
          </w:p>
        </w:tc>
        <w:tc>
          <w:tcPr>
            <w:tcW w:w="1276" w:type="dxa"/>
            <w:shd w:val="clear" w:color="auto" w:fill="auto"/>
            <w:vAlign w:val="center"/>
          </w:tcPr>
          <w:p w:rsidR="00303522" w:rsidRPr="00AA40AF" w:rsidRDefault="00303522" w:rsidP="006216F6">
            <w:pPr>
              <w:rPr>
                <w:rFonts w:ascii="Book Antiqua" w:eastAsia="Times New Roman" w:hAnsi="Book Antiqua" w:cs="Arial"/>
                <w:color w:val="000000"/>
              </w:rPr>
            </w:pPr>
            <w:r w:rsidRPr="00AA40AF">
              <w:rPr>
                <w:rFonts w:ascii="Book Antiqua" w:eastAsia="Times New Roman" w:hAnsi="Book Antiqua" w:cs="Arial"/>
                <w:color w:val="000000"/>
                <w:sz w:val="22"/>
                <w:szCs w:val="22"/>
              </w:rPr>
              <w:t>GSEG Exp</w:t>
            </w:r>
          </w:p>
        </w:tc>
        <w:tc>
          <w:tcPr>
            <w:tcW w:w="1559" w:type="dxa"/>
            <w:shd w:val="clear" w:color="auto" w:fill="auto"/>
            <w:vAlign w:val="center"/>
          </w:tcPr>
          <w:p w:rsidR="00303522" w:rsidRPr="00AA40AF" w:rsidRDefault="00303522">
            <w:pPr>
              <w:jc w:val="center"/>
              <w:rPr>
                <w:rFonts w:ascii="Book Antiqua" w:hAnsi="Book Antiqua" w:cs="Arial"/>
                <w:color w:val="000000"/>
              </w:rPr>
            </w:pPr>
            <w:r w:rsidRPr="00AA40AF">
              <w:rPr>
                <w:rFonts w:ascii="Book Antiqua" w:hAnsi="Book Antiqua" w:cs="Arial"/>
                <w:color w:val="000000"/>
                <w:sz w:val="22"/>
                <w:szCs w:val="22"/>
              </w:rPr>
              <w:t>4.29</w:t>
            </w:r>
          </w:p>
        </w:tc>
        <w:tc>
          <w:tcPr>
            <w:tcW w:w="1559" w:type="dxa"/>
            <w:shd w:val="clear" w:color="auto" w:fill="auto"/>
            <w:vAlign w:val="center"/>
          </w:tcPr>
          <w:p w:rsidR="00303522" w:rsidRPr="00AA40AF" w:rsidRDefault="00303522">
            <w:pPr>
              <w:jc w:val="center"/>
              <w:rPr>
                <w:rFonts w:ascii="Book Antiqua" w:hAnsi="Book Antiqua" w:cs="Arial"/>
                <w:color w:val="000000"/>
              </w:rPr>
            </w:pPr>
            <w:r w:rsidRPr="00AA40AF">
              <w:rPr>
                <w:rFonts w:ascii="Book Antiqua" w:hAnsi="Book Antiqua" w:cs="Arial"/>
                <w:color w:val="000000"/>
                <w:sz w:val="22"/>
                <w:szCs w:val="22"/>
              </w:rPr>
              <w:t>6.41</w:t>
            </w:r>
          </w:p>
        </w:tc>
        <w:tc>
          <w:tcPr>
            <w:tcW w:w="3544" w:type="dxa"/>
            <w:vMerge/>
            <w:shd w:val="clear" w:color="auto" w:fill="auto"/>
          </w:tcPr>
          <w:p w:rsidR="00303522" w:rsidRPr="00AA40AF" w:rsidRDefault="00303522" w:rsidP="005C597E">
            <w:pPr>
              <w:jc w:val="both"/>
              <w:rPr>
                <w:rFonts w:ascii="Book Antiqua" w:eastAsia="Times New Roman" w:hAnsi="Book Antiqua" w:cs="Arial"/>
                <w:color w:val="000000"/>
              </w:rPr>
            </w:pPr>
          </w:p>
        </w:tc>
      </w:tr>
      <w:tr w:rsidR="00303522" w:rsidRPr="003250F1" w:rsidTr="000C28EA">
        <w:tc>
          <w:tcPr>
            <w:tcW w:w="567" w:type="dxa"/>
            <w:shd w:val="clear" w:color="auto" w:fill="auto"/>
            <w:vAlign w:val="center"/>
          </w:tcPr>
          <w:p w:rsidR="00303522" w:rsidRPr="00AA40AF" w:rsidRDefault="00303522" w:rsidP="006216F6">
            <w:pPr>
              <w:rPr>
                <w:rFonts w:ascii="Book Antiqua" w:eastAsia="Times New Roman" w:hAnsi="Book Antiqua" w:cs="Arial"/>
                <w:color w:val="000000"/>
              </w:rPr>
            </w:pPr>
            <w:r w:rsidRPr="00AA40AF">
              <w:rPr>
                <w:rFonts w:ascii="Book Antiqua" w:eastAsia="Times New Roman" w:hAnsi="Book Antiqua" w:cs="Arial"/>
                <w:color w:val="000000"/>
                <w:sz w:val="22"/>
                <w:szCs w:val="22"/>
              </w:rPr>
              <w:t>4</w:t>
            </w:r>
          </w:p>
        </w:tc>
        <w:tc>
          <w:tcPr>
            <w:tcW w:w="1276" w:type="dxa"/>
            <w:shd w:val="clear" w:color="auto" w:fill="auto"/>
            <w:vAlign w:val="center"/>
          </w:tcPr>
          <w:p w:rsidR="00303522" w:rsidRPr="00AA40AF" w:rsidRDefault="00303522" w:rsidP="006216F6">
            <w:pPr>
              <w:rPr>
                <w:rFonts w:ascii="Book Antiqua" w:eastAsia="Times New Roman" w:hAnsi="Book Antiqua" w:cs="Arial"/>
                <w:color w:val="000000"/>
              </w:rPr>
            </w:pPr>
            <w:r w:rsidRPr="00AA40AF">
              <w:rPr>
                <w:rFonts w:ascii="Book Antiqua" w:eastAsia="Times New Roman" w:hAnsi="Book Antiqua" w:cs="Arial"/>
                <w:color w:val="000000"/>
                <w:sz w:val="22"/>
                <w:szCs w:val="22"/>
              </w:rPr>
              <w:t>GMDC</w:t>
            </w:r>
          </w:p>
        </w:tc>
        <w:tc>
          <w:tcPr>
            <w:tcW w:w="1559" w:type="dxa"/>
            <w:shd w:val="clear" w:color="auto" w:fill="auto"/>
            <w:vAlign w:val="center"/>
          </w:tcPr>
          <w:p w:rsidR="00303522" w:rsidRPr="00AA40AF" w:rsidRDefault="00303522">
            <w:pPr>
              <w:jc w:val="center"/>
              <w:rPr>
                <w:rFonts w:ascii="Book Antiqua" w:eastAsia="Times New Roman" w:hAnsi="Book Antiqua" w:cs="Arial"/>
                <w:color w:val="000000"/>
              </w:rPr>
            </w:pPr>
            <w:r w:rsidRPr="00AA40AF">
              <w:rPr>
                <w:rFonts w:ascii="Book Antiqua" w:hAnsi="Book Antiqua" w:cs="Arial"/>
                <w:color w:val="000000"/>
                <w:sz w:val="22"/>
                <w:szCs w:val="22"/>
              </w:rPr>
              <w:t>0.93</w:t>
            </w:r>
          </w:p>
        </w:tc>
        <w:tc>
          <w:tcPr>
            <w:tcW w:w="1559" w:type="dxa"/>
            <w:shd w:val="clear" w:color="auto" w:fill="auto"/>
            <w:vAlign w:val="center"/>
          </w:tcPr>
          <w:p w:rsidR="00303522" w:rsidRPr="00AA40AF" w:rsidRDefault="00303522">
            <w:pPr>
              <w:jc w:val="center"/>
              <w:rPr>
                <w:rFonts w:ascii="Book Antiqua" w:hAnsi="Book Antiqua" w:cs="Arial"/>
                <w:color w:val="000000"/>
              </w:rPr>
            </w:pPr>
            <w:r w:rsidRPr="00AA40AF">
              <w:rPr>
                <w:rFonts w:ascii="Book Antiqua" w:hAnsi="Book Antiqua" w:cs="Arial"/>
                <w:color w:val="000000"/>
                <w:sz w:val="22"/>
                <w:szCs w:val="22"/>
              </w:rPr>
              <w:t>1.12</w:t>
            </w:r>
          </w:p>
        </w:tc>
        <w:tc>
          <w:tcPr>
            <w:tcW w:w="3544" w:type="dxa"/>
            <w:shd w:val="clear" w:color="auto" w:fill="auto"/>
          </w:tcPr>
          <w:p w:rsidR="00303522" w:rsidRPr="00AA40AF" w:rsidRDefault="00303522" w:rsidP="005C597E">
            <w:pPr>
              <w:jc w:val="both"/>
              <w:rPr>
                <w:rFonts w:ascii="Book Antiqua" w:eastAsia="Times New Roman" w:hAnsi="Book Antiqua" w:cs="Arial"/>
                <w:color w:val="000000"/>
              </w:rPr>
            </w:pPr>
            <w:r w:rsidRPr="00AA40AF">
              <w:rPr>
                <w:rFonts w:ascii="Book Antiqua" w:eastAsia="Times New Roman" w:hAnsi="Book Antiqua" w:cs="Arial"/>
                <w:color w:val="000000"/>
                <w:sz w:val="22"/>
                <w:szCs w:val="22"/>
              </w:rPr>
              <w:t>Due to non-availability of lignite from Panadhro mine, lignite is to be transported from far end mine at Mata no Madh</w:t>
            </w:r>
          </w:p>
        </w:tc>
      </w:tr>
      <w:tr w:rsidR="00303522" w:rsidRPr="003250F1" w:rsidTr="000C28EA">
        <w:tc>
          <w:tcPr>
            <w:tcW w:w="567" w:type="dxa"/>
            <w:shd w:val="clear" w:color="auto" w:fill="auto"/>
            <w:vAlign w:val="center"/>
          </w:tcPr>
          <w:p w:rsidR="00303522" w:rsidRPr="00AA40AF" w:rsidRDefault="00303522" w:rsidP="006216F6">
            <w:pPr>
              <w:rPr>
                <w:rFonts w:ascii="Book Antiqua" w:eastAsia="Times New Roman" w:hAnsi="Book Antiqua" w:cs="Arial"/>
                <w:color w:val="000000"/>
              </w:rPr>
            </w:pPr>
            <w:r w:rsidRPr="00AA40AF">
              <w:rPr>
                <w:rFonts w:ascii="Book Antiqua" w:eastAsia="Times New Roman" w:hAnsi="Book Antiqua" w:cs="Arial"/>
                <w:color w:val="000000"/>
                <w:sz w:val="22"/>
                <w:szCs w:val="22"/>
              </w:rPr>
              <w:t>5</w:t>
            </w:r>
          </w:p>
        </w:tc>
        <w:tc>
          <w:tcPr>
            <w:tcW w:w="1276" w:type="dxa"/>
            <w:shd w:val="clear" w:color="auto" w:fill="auto"/>
            <w:vAlign w:val="center"/>
          </w:tcPr>
          <w:p w:rsidR="00303522" w:rsidRPr="00AA40AF" w:rsidRDefault="00303522" w:rsidP="006216F6">
            <w:pPr>
              <w:rPr>
                <w:rFonts w:ascii="Book Antiqua" w:eastAsia="Times New Roman" w:hAnsi="Book Antiqua" w:cs="Arial"/>
                <w:color w:val="000000"/>
              </w:rPr>
            </w:pPr>
            <w:r w:rsidRPr="00AA40AF">
              <w:rPr>
                <w:rFonts w:ascii="Book Antiqua" w:eastAsia="Times New Roman" w:hAnsi="Book Antiqua" w:cs="Arial"/>
                <w:color w:val="000000"/>
                <w:sz w:val="22"/>
                <w:szCs w:val="22"/>
              </w:rPr>
              <w:t>Adani Power</w:t>
            </w:r>
          </w:p>
        </w:tc>
        <w:tc>
          <w:tcPr>
            <w:tcW w:w="1559" w:type="dxa"/>
            <w:shd w:val="clear" w:color="auto" w:fill="auto"/>
            <w:vAlign w:val="center"/>
          </w:tcPr>
          <w:p w:rsidR="00303522" w:rsidRPr="00AA40AF" w:rsidRDefault="00303522">
            <w:pPr>
              <w:jc w:val="center"/>
              <w:rPr>
                <w:rFonts w:ascii="Book Antiqua" w:hAnsi="Book Antiqua" w:cs="Arial"/>
                <w:color w:val="000000"/>
              </w:rPr>
            </w:pPr>
            <w:r w:rsidRPr="00AA40AF">
              <w:rPr>
                <w:rFonts w:ascii="Book Antiqua" w:hAnsi="Book Antiqua" w:cs="Arial"/>
                <w:color w:val="000000"/>
                <w:sz w:val="22"/>
                <w:szCs w:val="22"/>
              </w:rPr>
              <w:t>1.59</w:t>
            </w:r>
          </w:p>
        </w:tc>
        <w:tc>
          <w:tcPr>
            <w:tcW w:w="1559" w:type="dxa"/>
            <w:shd w:val="clear" w:color="auto" w:fill="auto"/>
            <w:vAlign w:val="center"/>
          </w:tcPr>
          <w:p w:rsidR="00303522" w:rsidRPr="00AA40AF" w:rsidRDefault="00303522">
            <w:pPr>
              <w:jc w:val="center"/>
              <w:rPr>
                <w:rFonts w:ascii="Book Antiqua" w:hAnsi="Book Antiqua" w:cs="Arial"/>
                <w:color w:val="000000"/>
              </w:rPr>
            </w:pPr>
            <w:r w:rsidRPr="00AA40AF">
              <w:rPr>
                <w:rFonts w:ascii="Book Antiqua" w:hAnsi="Book Antiqua" w:cs="Arial"/>
                <w:color w:val="000000"/>
                <w:sz w:val="22"/>
                <w:szCs w:val="22"/>
              </w:rPr>
              <w:t>3.05</w:t>
            </w:r>
          </w:p>
        </w:tc>
        <w:tc>
          <w:tcPr>
            <w:tcW w:w="3544" w:type="dxa"/>
            <w:shd w:val="clear" w:color="auto" w:fill="auto"/>
          </w:tcPr>
          <w:p w:rsidR="00303522" w:rsidRPr="00AA40AF" w:rsidRDefault="00303522" w:rsidP="005C597E">
            <w:pPr>
              <w:jc w:val="both"/>
              <w:rPr>
                <w:rFonts w:ascii="Book Antiqua" w:eastAsia="Times New Roman" w:hAnsi="Book Antiqua" w:cs="Arial"/>
                <w:color w:val="000000"/>
              </w:rPr>
            </w:pPr>
            <w:r w:rsidRPr="00AA40AF">
              <w:rPr>
                <w:rFonts w:ascii="Book Antiqua" w:eastAsia="Times New Roman" w:hAnsi="Book Antiqua" w:cs="Arial"/>
                <w:color w:val="000000"/>
                <w:sz w:val="22"/>
                <w:szCs w:val="22"/>
              </w:rPr>
              <w:t>Due to implementation of Suppl. PPA w.e.f 15.10.2018 as approved by CERC</w:t>
            </w:r>
          </w:p>
        </w:tc>
      </w:tr>
      <w:tr w:rsidR="00303522" w:rsidRPr="003250F1" w:rsidTr="000C28EA">
        <w:tc>
          <w:tcPr>
            <w:tcW w:w="567" w:type="dxa"/>
            <w:shd w:val="clear" w:color="auto" w:fill="auto"/>
            <w:vAlign w:val="center"/>
          </w:tcPr>
          <w:p w:rsidR="00303522" w:rsidRPr="00AA40AF" w:rsidRDefault="00303522" w:rsidP="006216F6">
            <w:pPr>
              <w:rPr>
                <w:rFonts w:ascii="Book Antiqua" w:eastAsia="Times New Roman" w:hAnsi="Book Antiqua" w:cs="Arial"/>
                <w:color w:val="000000"/>
              </w:rPr>
            </w:pPr>
            <w:r w:rsidRPr="00AA40AF">
              <w:rPr>
                <w:rFonts w:ascii="Book Antiqua" w:eastAsia="Times New Roman" w:hAnsi="Book Antiqua" w:cs="Arial"/>
                <w:color w:val="000000"/>
                <w:sz w:val="22"/>
                <w:szCs w:val="22"/>
              </w:rPr>
              <w:t>6</w:t>
            </w:r>
          </w:p>
        </w:tc>
        <w:tc>
          <w:tcPr>
            <w:tcW w:w="1276" w:type="dxa"/>
            <w:shd w:val="clear" w:color="auto" w:fill="auto"/>
            <w:vAlign w:val="center"/>
          </w:tcPr>
          <w:p w:rsidR="00303522" w:rsidRPr="00AA40AF" w:rsidRDefault="00303522" w:rsidP="006216F6">
            <w:pPr>
              <w:rPr>
                <w:rFonts w:ascii="Book Antiqua" w:eastAsia="Times New Roman" w:hAnsi="Book Antiqua" w:cs="Arial"/>
                <w:color w:val="000000"/>
              </w:rPr>
            </w:pPr>
            <w:r w:rsidRPr="00AA40AF">
              <w:rPr>
                <w:rFonts w:ascii="Book Antiqua" w:eastAsia="Times New Roman" w:hAnsi="Book Antiqua" w:cs="Arial"/>
                <w:color w:val="000000"/>
                <w:sz w:val="22"/>
                <w:szCs w:val="22"/>
              </w:rPr>
              <w:t>ACB</w:t>
            </w:r>
          </w:p>
        </w:tc>
        <w:tc>
          <w:tcPr>
            <w:tcW w:w="1559" w:type="dxa"/>
            <w:shd w:val="clear" w:color="auto" w:fill="auto"/>
            <w:vAlign w:val="center"/>
          </w:tcPr>
          <w:p w:rsidR="00303522" w:rsidRPr="00AA40AF" w:rsidRDefault="00303522">
            <w:pPr>
              <w:jc w:val="center"/>
              <w:rPr>
                <w:rFonts w:ascii="Book Antiqua" w:hAnsi="Book Antiqua" w:cs="Arial"/>
                <w:color w:val="000000"/>
              </w:rPr>
            </w:pPr>
            <w:r w:rsidRPr="00AA40AF">
              <w:rPr>
                <w:rFonts w:ascii="Book Antiqua" w:hAnsi="Book Antiqua" w:cs="Arial"/>
                <w:color w:val="000000"/>
                <w:sz w:val="22"/>
                <w:szCs w:val="22"/>
              </w:rPr>
              <w:t>0.66</w:t>
            </w:r>
          </w:p>
        </w:tc>
        <w:tc>
          <w:tcPr>
            <w:tcW w:w="1559" w:type="dxa"/>
            <w:shd w:val="clear" w:color="auto" w:fill="auto"/>
            <w:vAlign w:val="center"/>
          </w:tcPr>
          <w:p w:rsidR="00303522" w:rsidRPr="00AA40AF" w:rsidRDefault="00303522">
            <w:pPr>
              <w:jc w:val="center"/>
              <w:rPr>
                <w:rFonts w:ascii="Book Antiqua" w:hAnsi="Book Antiqua" w:cs="Arial"/>
                <w:color w:val="000000"/>
              </w:rPr>
            </w:pPr>
            <w:r w:rsidRPr="00AA40AF">
              <w:rPr>
                <w:rFonts w:ascii="Book Antiqua" w:hAnsi="Book Antiqua" w:cs="Arial"/>
                <w:color w:val="000000"/>
                <w:sz w:val="22"/>
                <w:szCs w:val="22"/>
              </w:rPr>
              <w:t>0.81</w:t>
            </w:r>
          </w:p>
        </w:tc>
        <w:tc>
          <w:tcPr>
            <w:tcW w:w="3544" w:type="dxa"/>
            <w:vMerge w:val="restart"/>
            <w:shd w:val="clear" w:color="auto" w:fill="auto"/>
          </w:tcPr>
          <w:p w:rsidR="00303522" w:rsidRPr="00AA40AF" w:rsidRDefault="00303522" w:rsidP="005C597E">
            <w:pPr>
              <w:jc w:val="both"/>
              <w:rPr>
                <w:rFonts w:ascii="Book Antiqua" w:eastAsia="Times New Roman" w:hAnsi="Book Antiqua" w:cs="Arial"/>
                <w:color w:val="000000"/>
              </w:rPr>
            </w:pPr>
            <w:r w:rsidRPr="00AA40AF">
              <w:rPr>
                <w:rFonts w:ascii="Book Antiqua" w:eastAsia="Times New Roman" w:hAnsi="Book Antiqua" w:cs="Arial"/>
                <w:color w:val="000000"/>
                <w:sz w:val="22"/>
                <w:szCs w:val="22"/>
              </w:rPr>
              <w:t xml:space="preserve">Due to change in law </w:t>
            </w:r>
          </w:p>
        </w:tc>
      </w:tr>
      <w:tr w:rsidR="00303522" w:rsidRPr="003250F1" w:rsidTr="000C28EA">
        <w:tc>
          <w:tcPr>
            <w:tcW w:w="567" w:type="dxa"/>
            <w:shd w:val="clear" w:color="auto" w:fill="auto"/>
            <w:vAlign w:val="center"/>
          </w:tcPr>
          <w:p w:rsidR="00303522" w:rsidRPr="00AA40AF" w:rsidRDefault="00303522" w:rsidP="006216F6">
            <w:pPr>
              <w:rPr>
                <w:rFonts w:ascii="Book Antiqua" w:eastAsia="Times New Roman" w:hAnsi="Book Antiqua" w:cs="Arial"/>
                <w:color w:val="000000"/>
              </w:rPr>
            </w:pPr>
            <w:r w:rsidRPr="00AA40AF">
              <w:rPr>
                <w:rFonts w:ascii="Book Antiqua" w:eastAsia="Times New Roman" w:hAnsi="Book Antiqua" w:cs="Arial"/>
                <w:color w:val="000000"/>
                <w:sz w:val="22"/>
                <w:szCs w:val="22"/>
              </w:rPr>
              <w:t>7</w:t>
            </w:r>
          </w:p>
        </w:tc>
        <w:tc>
          <w:tcPr>
            <w:tcW w:w="1276" w:type="dxa"/>
            <w:shd w:val="clear" w:color="auto" w:fill="auto"/>
            <w:vAlign w:val="center"/>
          </w:tcPr>
          <w:p w:rsidR="00303522" w:rsidRPr="00AA40AF" w:rsidRDefault="00303522" w:rsidP="006216F6">
            <w:pPr>
              <w:rPr>
                <w:rFonts w:ascii="Book Antiqua" w:eastAsia="Times New Roman" w:hAnsi="Book Antiqua" w:cs="Arial"/>
                <w:color w:val="000000"/>
              </w:rPr>
            </w:pPr>
            <w:r w:rsidRPr="00AA40AF">
              <w:rPr>
                <w:rFonts w:ascii="Book Antiqua" w:eastAsia="Times New Roman" w:hAnsi="Book Antiqua" w:cs="Arial"/>
                <w:color w:val="000000"/>
                <w:sz w:val="22"/>
                <w:szCs w:val="22"/>
              </w:rPr>
              <w:t>CGPL</w:t>
            </w:r>
          </w:p>
        </w:tc>
        <w:tc>
          <w:tcPr>
            <w:tcW w:w="1559" w:type="dxa"/>
            <w:shd w:val="clear" w:color="auto" w:fill="auto"/>
            <w:vAlign w:val="center"/>
          </w:tcPr>
          <w:p w:rsidR="00303522" w:rsidRPr="00AA40AF" w:rsidRDefault="00303522">
            <w:pPr>
              <w:jc w:val="center"/>
              <w:rPr>
                <w:rFonts w:ascii="Book Antiqua" w:hAnsi="Book Antiqua" w:cs="Arial"/>
                <w:color w:val="000000"/>
              </w:rPr>
            </w:pPr>
            <w:r w:rsidRPr="00AA40AF">
              <w:rPr>
                <w:rFonts w:ascii="Book Antiqua" w:hAnsi="Book Antiqua" w:cs="Arial"/>
                <w:color w:val="000000"/>
                <w:sz w:val="22"/>
                <w:szCs w:val="22"/>
              </w:rPr>
              <w:t>1.60</w:t>
            </w:r>
          </w:p>
        </w:tc>
        <w:tc>
          <w:tcPr>
            <w:tcW w:w="1559" w:type="dxa"/>
            <w:shd w:val="clear" w:color="auto" w:fill="auto"/>
            <w:vAlign w:val="center"/>
          </w:tcPr>
          <w:p w:rsidR="00303522" w:rsidRPr="00AA40AF" w:rsidRDefault="00303522">
            <w:pPr>
              <w:jc w:val="center"/>
              <w:rPr>
                <w:rFonts w:ascii="Book Antiqua" w:hAnsi="Book Antiqua" w:cs="Arial"/>
                <w:color w:val="000000"/>
              </w:rPr>
            </w:pPr>
            <w:r w:rsidRPr="00AA40AF">
              <w:rPr>
                <w:rFonts w:ascii="Book Antiqua" w:hAnsi="Book Antiqua" w:cs="Arial"/>
                <w:color w:val="000000"/>
                <w:sz w:val="22"/>
                <w:szCs w:val="22"/>
              </w:rPr>
              <w:t>1.83</w:t>
            </w:r>
          </w:p>
        </w:tc>
        <w:tc>
          <w:tcPr>
            <w:tcW w:w="3544" w:type="dxa"/>
            <w:vMerge/>
            <w:shd w:val="clear" w:color="auto" w:fill="auto"/>
          </w:tcPr>
          <w:p w:rsidR="00303522" w:rsidRPr="00AA40AF" w:rsidRDefault="00303522" w:rsidP="005C597E">
            <w:pPr>
              <w:jc w:val="both"/>
              <w:rPr>
                <w:rFonts w:ascii="Book Antiqua" w:eastAsia="Times New Roman" w:hAnsi="Book Antiqua" w:cs="Arial"/>
                <w:color w:val="000000"/>
              </w:rPr>
            </w:pPr>
          </w:p>
        </w:tc>
      </w:tr>
    </w:tbl>
    <w:p w:rsidR="002809F1" w:rsidRDefault="002809F1" w:rsidP="005C597E">
      <w:pPr>
        <w:spacing w:after="240" w:line="276" w:lineRule="auto"/>
        <w:jc w:val="both"/>
        <w:rPr>
          <w:rFonts w:eastAsia="Times New Roman"/>
          <w:color w:val="000000"/>
        </w:rPr>
      </w:pPr>
    </w:p>
    <w:p w:rsidR="00D20D68" w:rsidRPr="00C244F6" w:rsidRDefault="00D20D68" w:rsidP="00303522">
      <w:pPr>
        <w:numPr>
          <w:ilvl w:val="1"/>
          <w:numId w:val="4"/>
        </w:numPr>
        <w:spacing w:after="240" w:line="276" w:lineRule="auto"/>
        <w:ind w:hanging="357"/>
        <w:jc w:val="both"/>
        <w:rPr>
          <w:rFonts w:eastAsia="Times New Roman"/>
          <w:b/>
          <w:bCs/>
          <w:color w:val="000000"/>
        </w:rPr>
      </w:pPr>
      <w:r w:rsidRPr="00C244F6">
        <w:rPr>
          <w:rFonts w:ascii="Book Antiqua" w:eastAsia="Times New Roman" w:hAnsi="Book Antiqua"/>
          <w:b/>
          <w:bCs/>
          <w:color w:val="000000"/>
        </w:rPr>
        <w:t>UGVCL should also list unapproved sources, if any, from whom power was procured during FY 2018-19.</w:t>
      </w:r>
    </w:p>
    <w:p w:rsidR="00303522" w:rsidRPr="007D4215" w:rsidRDefault="00303522" w:rsidP="00303522">
      <w:pPr>
        <w:spacing w:after="240"/>
        <w:jc w:val="both"/>
        <w:rPr>
          <w:rFonts w:ascii="Book Antiqua" w:hAnsi="Book Antiqua"/>
          <w:b/>
          <w:bCs/>
          <w:i/>
          <w:iCs/>
          <w:lang w:val="en-GB"/>
        </w:rPr>
      </w:pPr>
      <w:r w:rsidRPr="007D4215">
        <w:rPr>
          <w:rFonts w:ascii="Book Antiqua" w:hAnsi="Book Antiqua"/>
          <w:b/>
          <w:bCs/>
          <w:i/>
          <w:iCs/>
          <w:lang w:val="en-GB"/>
        </w:rPr>
        <w:t>Compliance:</w:t>
      </w:r>
      <w:r w:rsidR="002809F1">
        <w:rPr>
          <w:rFonts w:ascii="Book Antiqua" w:hAnsi="Book Antiqua"/>
          <w:b/>
          <w:bCs/>
          <w:i/>
          <w:iCs/>
          <w:lang w:val="en-GB"/>
        </w:rPr>
        <w:t xml:space="preserve"> -</w:t>
      </w:r>
    </w:p>
    <w:p w:rsidR="00303522" w:rsidRPr="007D4215" w:rsidRDefault="00303522" w:rsidP="00303522">
      <w:pPr>
        <w:spacing w:after="240" w:line="276" w:lineRule="auto"/>
        <w:ind w:left="709"/>
        <w:jc w:val="both"/>
        <w:rPr>
          <w:rFonts w:ascii="Book Antiqua" w:hAnsi="Book Antiqua"/>
          <w:lang w:val="en-GB"/>
        </w:rPr>
      </w:pPr>
      <w:r w:rsidRPr="007D4215">
        <w:rPr>
          <w:rFonts w:ascii="Book Antiqua" w:hAnsi="Book Antiqua"/>
          <w:lang w:val="en-GB"/>
        </w:rPr>
        <w:t>Due to non-availability of power from certain approved stations and also to economise cost of power, power purchase was undertaken from short term sources when market condition was favourable to DISCOMs. The power purchase arrangement from GMR Chhatisgarh under coal tolling was separately approved by Hon’ble Commission. The details is as under:</w:t>
      </w:r>
    </w:p>
    <w:tbl>
      <w:tblPr>
        <w:tblW w:w="880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7488"/>
        <w:gridCol w:w="725"/>
      </w:tblGrid>
      <w:tr w:rsidR="002E5E0B" w:rsidRPr="003250F1" w:rsidTr="002E5E0B">
        <w:trPr>
          <w:trHeight w:val="374"/>
        </w:trPr>
        <w:tc>
          <w:tcPr>
            <w:tcW w:w="596" w:type="dxa"/>
            <w:shd w:val="clear" w:color="auto" w:fill="FABF8F" w:themeFill="accent6" w:themeFillTint="99"/>
          </w:tcPr>
          <w:p w:rsidR="00303522" w:rsidRPr="00AA40AF" w:rsidRDefault="00303522" w:rsidP="002F2E28">
            <w:pPr>
              <w:spacing w:after="120" w:line="312" w:lineRule="atLeast"/>
              <w:jc w:val="both"/>
              <w:rPr>
                <w:rFonts w:ascii="Book Antiqua" w:eastAsia="Times New Roman" w:hAnsi="Book Antiqua" w:cs="Arial"/>
                <w:color w:val="000000"/>
              </w:rPr>
            </w:pPr>
            <w:r w:rsidRPr="00AA40AF">
              <w:rPr>
                <w:rFonts w:ascii="Book Antiqua" w:eastAsia="Times New Roman" w:hAnsi="Book Antiqua" w:cs="Arial"/>
                <w:color w:val="000000"/>
                <w:sz w:val="22"/>
                <w:szCs w:val="22"/>
              </w:rPr>
              <w:t>No</w:t>
            </w:r>
          </w:p>
        </w:tc>
        <w:tc>
          <w:tcPr>
            <w:tcW w:w="7488" w:type="dxa"/>
            <w:shd w:val="clear" w:color="auto" w:fill="FABF8F" w:themeFill="accent6" w:themeFillTint="99"/>
          </w:tcPr>
          <w:p w:rsidR="00303522" w:rsidRPr="00AA40AF" w:rsidRDefault="00303522" w:rsidP="002F2E28">
            <w:pPr>
              <w:spacing w:after="120" w:line="312" w:lineRule="atLeast"/>
              <w:jc w:val="both"/>
              <w:rPr>
                <w:rFonts w:ascii="Book Antiqua" w:eastAsia="Times New Roman" w:hAnsi="Book Antiqua" w:cs="Arial"/>
                <w:color w:val="000000"/>
              </w:rPr>
            </w:pPr>
            <w:r w:rsidRPr="00AA40AF">
              <w:rPr>
                <w:rFonts w:ascii="Book Antiqua" w:eastAsia="Times New Roman" w:hAnsi="Book Antiqua" w:cs="Arial"/>
                <w:color w:val="000000"/>
                <w:sz w:val="22"/>
                <w:szCs w:val="22"/>
              </w:rPr>
              <w:t>Source</w:t>
            </w:r>
          </w:p>
        </w:tc>
        <w:tc>
          <w:tcPr>
            <w:tcW w:w="725" w:type="dxa"/>
            <w:shd w:val="clear" w:color="auto" w:fill="FABF8F" w:themeFill="accent6" w:themeFillTint="99"/>
          </w:tcPr>
          <w:p w:rsidR="00303522" w:rsidRPr="00AA40AF" w:rsidRDefault="00303522" w:rsidP="002F2E28">
            <w:pPr>
              <w:spacing w:after="120" w:line="312" w:lineRule="atLeast"/>
              <w:jc w:val="both"/>
              <w:rPr>
                <w:rFonts w:ascii="Book Antiqua" w:eastAsia="Times New Roman" w:hAnsi="Book Antiqua" w:cs="Arial"/>
                <w:color w:val="000000"/>
              </w:rPr>
            </w:pPr>
            <w:r w:rsidRPr="00AA40AF">
              <w:rPr>
                <w:rFonts w:ascii="Book Antiqua" w:eastAsia="Times New Roman" w:hAnsi="Book Antiqua" w:cs="Arial"/>
                <w:color w:val="000000"/>
                <w:sz w:val="22"/>
                <w:szCs w:val="22"/>
              </w:rPr>
              <w:t>MUs</w:t>
            </w:r>
          </w:p>
        </w:tc>
      </w:tr>
      <w:tr w:rsidR="00303522" w:rsidRPr="003250F1" w:rsidTr="005C597E">
        <w:trPr>
          <w:trHeight w:val="634"/>
        </w:trPr>
        <w:tc>
          <w:tcPr>
            <w:tcW w:w="596" w:type="dxa"/>
            <w:shd w:val="clear" w:color="auto" w:fill="auto"/>
          </w:tcPr>
          <w:p w:rsidR="00303522" w:rsidRPr="00AA40AF" w:rsidRDefault="00303522" w:rsidP="002F2E28">
            <w:pPr>
              <w:spacing w:after="120" w:line="312" w:lineRule="atLeast"/>
              <w:jc w:val="both"/>
              <w:rPr>
                <w:rFonts w:ascii="Book Antiqua" w:eastAsia="Times New Roman" w:hAnsi="Book Antiqua" w:cs="Arial"/>
                <w:color w:val="000000"/>
              </w:rPr>
            </w:pPr>
            <w:r w:rsidRPr="00AA40AF">
              <w:rPr>
                <w:rFonts w:ascii="Book Antiqua" w:eastAsia="Times New Roman" w:hAnsi="Book Antiqua" w:cs="Arial"/>
                <w:color w:val="000000"/>
                <w:sz w:val="22"/>
                <w:szCs w:val="22"/>
              </w:rPr>
              <w:lastRenderedPageBreak/>
              <w:t>1</w:t>
            </w:r>
          </w:p>
        </w:tc>
        <w:tc>
          <w:tcPr>
            <w:tcW w:w="7488" w:type="dxa"/>
            <w:shd w:val="clear" w:color="auto" w:fill="auto"/>
          </w:tcPr>
          <w:p w:rsidR="00303522" w:rsidRPr="00AA40AF" w:rsidRDefault="00303522" w:rsidP="002F2E28">
            <w:pPr>
              <w:spacing w:after="120" w:line="312" w:lineRule="atLeast"/>
              <w:jc w:val="both"/>
              <w:rPr>
                <w:rFonts w:ascii="Book Antiqua" w:eastAsia="Times New Roman" w:hAnsi="Book Antiqua" w:cs="Arial"/>
                <w:color w:val="000000"/>
              </w:rPr>
            </w:pPr>
            <w:r w:rsidRPr="00AA40AF">
              <w:rPr>
                <w:rFonts w:ascii="Book Antiqua" w:eastAsia="Times New Roman" w:hAnsi="Book Antiqua" w:cs="Arial"/>
                <w:color w:val="000000"/>
                <w:sz w:val="22"/>
                <w:szCs w:val="22"/>
              </w:rPr>
              <w:t>NTPC Solapur (Un-requisite 100 MW quantum allocated by MoP for 3 months)</w:t>
            </w:r>
          </w:p>
        </w:tc>
        <w:tc>
          <w:tcPr>
            <w:tcW w:w="725" w:type="dxa"/>
            <w:shd w:val="clear" w:color="auto" w:fill="auto"/>
          </w:tcPr>
          <w:p w:rsidR="00303522" w:rsidRPr="00AA40AF" w:rsidRDefault="00303522" w:rsidP="002F2E28">
            <w:pPr>
              <w:spacing w:after="120" w:line="312" w:lineRule="atLeast"/>
              <w:jc w:val="both"/>
              <w:rPr>
                <w:rFonts w:ascii="Book Antiqua" w:eastAsia="Times New Roman" w:hAnsi="Book Antiqua" w:cs="Arial"/>
                <w:color w:val="000000"/>
              </w:rPr>
            </w:pPr>
            <w:r w:rsidRPr="00AA40AF">
              <w:rPr>
                <w:rFonts w:ascii="Book Antiqua" w:eastAsia="Times New Roman" w:hAnsi="Book Antiqua" w:cs="Arial"/>
                <w:color w:val="000000"/>
                <w:sz w:val="22"/>
                <w:szCs w:val="22"/>
              </w:rPr>
              <w:t>50</w:t>
            </w:r>
          </w:p>
        </w:tc>
      </w:tr>
      <w:tr w:rsidR="00303522" w:rsidRPr="003250F1" w:rsidTr="005C597E">
        <w:trPr>
          <w:trHeight w:val="374"/>
        </w:trPr>
        <w:tc>
          <w:tcPr>
            <w:tcW w:w="596" w:type="dxa"/>
            <w:shd w:val="clear" w:color="auto" w:fill="auto"/>
          </w:tcPr>
          <w:p w:rsidR="00303522" w:rsidRPr="00AA40AF" w:rsidRDefault="00303522" w:rsidP="002F2E28">
            <w:pPr>
              <w:spacing w:after="120" w:line="312" w:lineRule="atLeast"/>
              <w:jc w:val="both"/>
              <w:rPr>
                <w:rFonts w:ascii="Book Antiqua" w:eastAsia="Times New Roman" w:hAnsi="Book Antiqua" w:cs="Arial"/>
                <w:color w:val="000000"/>
              </w:rPr>
            </w:pPr>
            <w:r w:rsidRPr="00AA40AF">
              <w:rPr>
                <w:rFonts w:ascii="Book Antiqua" w:eastAsia="Times New Roman" w:hAnsi="Book Antiqua" w:cs="Arial"/>
                <w:color w:val="000000"/>
                <w:sz w:val="22"/>
                <w:szCs w:val="22"/>
              </w:rPr>
              <w:t>2</w:t>
            </w:r>
          </w:p>
        </w:tc>
        <w:tc>
          <w:tcPr>
            <w:tcW w:w="7488" w:type="dxa"/>
            <w:shd w:val="clear" w:color="auto" w:fill="auto"/>
          </w:tcPr>
          <w:p w:rsidR="00303522" w:rsidRPr="00AA40AF" w:rsidRDefault="00303522" w:rsidP="002F2E28">
            <w:pPr>
              <w:spacing w:after="120" w:line="312" w:lineRule="atLeast"/>
              <w:jc w:val="both"/>
              <w:rPr>
                <w:rFonts w:ascii="Book Antiqua" w:eastAsia="Times New Roman" w:hAnsi="Book Antiqua" w:cs="Arial"/>
                <w:color w:val="000000"/>
              </w:rPr>
            </w:pPr>
            <w:r w:rsidRPr="00AA40AF">
              <w:rPr>
                <w:rFonts w:ascii="Book Antiqua" w:eastAsia="Times New Roman" w:hAnsi="Book Antiqua" w:cs="Arial"/>
                <w:color w:val="000000"/>
                <w:sz w:val="22"/>
                <w:szCs w:val="22"/>
              </w:rPr>
              <w:t>Power Exchanges</w:t>
            </w:r>
          </w:p>
        </w:tc>
        <w:tc>
          <w:tcPr>
            <w:tcW w:w="725" w:type="dxa"/>
            <w:shd w:val="clear" w:color="auto" w:fill="auto"/>
          </w:tcPr>
          <w:p w:rsidR="00303522" w:rsidRPr="00AA40AF" w:rsidRDefault="00303522" w:rsidP="002F2E28">
            <w:pPr>
              <w:spacing w:after="120" w:line="312" w:lineRule="atLeast"/>
              <w:jc w:val="both"/>
              <w:rPr>
                <w:rFonts w:ascii="Book Antiqua" w:eastAsia="Times New Roman" w:hAnsi="Book Antiqua" w:cs="Arial"/>
                <w:color w:val="000000"/>
              </w:rPr>
            </w:pPr>
            <w:r w:rsidRPr="00AA40AF">
              <w:rPr>
                <w:rFonts w:ascii="Book Antiqua" w:eastAsia="Times New Roman" w:hAnsi="Book Antiqua" w:cs="Arial"/>
                <w:color w:val="000000"/>
                <w:sz w:val="22"/>
                <w:szCs w:val="22"/>
              </w:rPr>
              <w:t>6407</w:t>
            </w:r>
          </w:p>
        </w:tc>
      </w:tr>
      <w:tr w:rsidR="00303522" w:rsidRPr="003250F1" w:rsidTr="005C597E">
        <w:trPr>
          <w:trHeight w:val="361"/>
        </w:trPr>
        <w:tc>
          <w:tcPr>
            <w:tcW w:w="596" w:type="dxa"/>
            <w:shd w:val="clear" w:color="auto" w:fill="auto"/>
          </w:tcPr>
          <w:p w:rsidR="00303522" w:rsidRPr="00AA40AF" w:rsidRDefault="00303522" w:rsidP="002F2E28">
            <w:pPr>
              <w:spacing w:after="120" w:line="312" w:lineRule="atLeast"/>
              <w:jc w:val="both"/>
              <w:rPr>
                <w:rFonts w:ascii="Book Antiqua" w:eastAsia="Times New Roman" w:hAnsi="Book Antiqua" w:cs="Arial"/>
                <w:color w:val="000000"/>
              </w:rPr>
            </w:pPr>
            <w:r w:rsidRPr="00AA40AF">
              <w:rPr>
                <w:rFonts w:ascii="Book Antiqua" w:eastAsia="Times New Roman" w:hAnsi="Book Antiqua" w:cs="Arial"/>
                <w:color w:val="000000"/>
                <w:sz w:val="22"/>
                <w:szCs w:val="22"/>
              </w:rPr>
              <w:t>3</w:t>
            </w:r>
          </w:p>
        </w:tc>
        <w:tc>
          <w:tcPr>
            <w:tcW w:w="7488" w:type="dxa"/>
            <w:shd w:val="clear" w:color="auto" w:fill="auto"/>
          </w:tcPr>
          <w:p w:rsidR="00303522" w:rsidRPr="00AA40AF" w:rsidRDefault="00303522" w:rsidP="002F2E28">
            <w:pPr>
              <w:spacing w:after="120" w:line="312" w:lineRule="atLeast"/>
              <w:jc w:val="both"/>
              <w:rPr>
                <w:rFonts w:ascii="Book Antiqua" w:eastAsia="Times New Roman" w:hAnsi="Book Antiqua" w:cs="Arial"/>
                <w:color w:val="000000"/>
              </w:rPr>
            </w:pPr>
            <w:r w:rsidRPr="00AA40AF">
              <w:rPr>
                <w:rFonts w:ascii="Book Antiqua" w:eastAsia="Times New Roman" w:hAnsi="Book Antiqua" w:cs="Arial"/>
                <w:color w:val="000000"/>
                <w:sz w:val="22"/>
                <w:szCs w:val="22"/>
              </w:rPr>
              <w:t>Other short</w:t>
            </w:r>
            <w:r w:rsidR="00E60EED">
              <w:rPr>
                <w:rFonts w:ascii="Book Antiqua" w:eastAsia="Times New Roman" w:hAnsi="Book Antiqua" w:cs="Arial"/>
                <w:color w:val="000000"/>
                <w:sz w:val="22"/>
                <w:szCs w:val="22"/>
              </w:rPr>
              <w:t>-</w:t>
            </w:r>
            <w:r w:rsidRPr="00AA40AF">
              <w:rPr>
                <w:rFonts w:ascii="Book Antiqua" w:eastAsia="Times New Roman" w:hAnsi="Book Antiqua" w:cs="Arial"/>
                <w:color w:val="000000"/>
                <w:sz w:val="22"/>
                <w:szCs w:val="22"/>
              </w:rPr>
              <w:t>term sources including GMR(Coal Tolling arrangement)</w:t>
            </w:r>
          </w:p>
        </w:tc>
        <w:tc>
          <w:tcPr>
            <w:tcW w:w="725" w:type="dxa"/>
            <w:shd w:val="clear" w:color="auto" w:fill="auto"/>
          </w:tcPr>
          <w:p w:rsidR="00303522" w:rsidRPr="00AA40AF" w:rsidRDefault="00303522" w:rsidP="002F2E28">
            <w:pPr>
              <w:spacing w:after="120" w:line="312" w:lineRule="atLeast"/>
              <w:jc w:val="both"/>
              <w:rPr>
                <w:rFonts w:ascii="Book Antiqua" w:eastAsia="Times New Roman" w:hAnsi="Book Antiqua" w:cs="Arial"/>
                <w:color w:val="000000"/>
              </w:rPr>
            </w:pPr>
            <w:r w:rsidRPr="00AA40AF">
              <w:rPr>
                <w:rFonts w:ascii="Book Antiqua" w:eastAsia="Times New Roman" w:hAnsi="Book Antiqua" w:cs="Arial"/>
                <w:color w:val="000000"/>
                <w:sz w:val="22"/>
                <w:szCs w:val="22"/>
              </w:rPr>
              <w:t>4245</w:t>
            </w:r>
          </w:p>
        </w:tc>
      </w:tr>
    </w:tbl>
    <w:p w:rsidR="00303522" w:rsidRDefault="00303522" w:rsidP="005C597E">
      <w:pPr>
        <w:spacing w:after="240" w:line="276" w:lineRule="auto"/>
        <w:ind w:left="709"/>
        <w:jc w:val="both"/>
        <w:rPr>
          <w:rFonts w:eastAsia="Times New Roman"/>
          <w:color w:val="000000"/>
        </w:rPr>
      </w:pPr>
    </w:p>
    <w:p w:rsidR="00D20D68" w:rsidRPr="00842814" w:rsidRDefault="00D20D68" w:rsidP="00303522">
      <w:pPr>
        <w:numPr>
          <w:ilvl w:val="1"/>
          <w:numId w:val="4"/>
        </w:numPr>
        <w:spacing w:after="240" w:line="276" w:lineRule="auto"/>
        <w:ind w:hanging="357"/>
        <w:jc w:val="both"/>
        <w:rPr>
          <w:rFonts w:eastAsia="Times New Roman"/>
          <w:b/>
          <w:bCs/>
          <w:color w:val="000000"/>
        </w:rPr>
      </w:pPr>
      <w:r w:rsidRPr="00C244F6">
        <w:rPr>
          <w:rFonts w:ascii="Book Antiqua" w:eastAsia="Times New Roman" w:hAnsi="Book Antiqua"/>
          <w:b/>
          <w:bCs/>
          <w:color w:val="000000"/>
        </w:rPr>
        <w:t xml:space="preserve">Reconciliation of power purchase cost with Form 2 of the Petition </w:t>
      </w:r>
      <w:r w:rsidRPr="00842814">
        <w:rPr>
          <w:rFonts w:ascii="Book Antiqua" w:eastAsia="Times New Roman" w:hAnsi="Book Antiqua"/>
          <w:b/>
          <w:bCs/>
          <w:color w:val="000000"/>
        </w:rPr>
        <w:t>formats submitted by UGVCL</w:t>
      </w:r>
    </w:p>
    <w:p w:rsidR="002E5E0B" w:rsidRPr="00842814" w:rsidRDefault="002E5E0B" w:rsidP="00C244F6">
      <w:pPr>
        <w:spacing w:after="240" w:line="276" w:lineRule="auto"/>
        <w:ind w:left="426"/>
        <w:jc w:val="both"/>
        <w:rPr>
          <w:rFonts w:ascii="Book Antiqua" w:hAnsi="Book Antiqua"/>
          <w:b/>
          <w:bCs/>
          <w:lang w:val="en-GB"/>
        </w:rPr>
      </w:pPr>
      <w:r w:rsidRPr="00842814">
        <w:rPr>
          <w:rFonts w:ascii="Book Antiqua" w:hAnsi="Book Antiqua"/>
          <w:b/>
          <w:bCs/>
          <w:lang w:val="en-GB"/>
        </w:rPr>
        <w:t>Compliance:</w:t>
      </w:r>
      <w:r w:rsidR="002809F1" w:rsidRPr="00842814">
        <w:rPr>
          <w:rFonts w:ascii="Book Antiqua" w:hAnsi="Book Antiqua"/>
          <w:b/>
          <w:bCs/>
          <w:lang w:val="en-GB"/>
        </w:rPr>
        <w:t xml:space="preserve"> -</w:t>
      </w:r>
    </w:p>
    <w:p w:rsidR="00C244F6" w:rsidRDefault="00C244F6" w:rsidP="002E5E0B">
      <w:pPr>
        <w:spacing w:after="240" w:line="276" w:lineRule="auto"/>
        <w:ind w:left="709"/>
        <w:jc w:val="both"/>
        <w:rPr>
          <w:rFonts w:ascii="Book Antiqua" w:eastAsia="Times New Roman" w:hAnsi="Book Antiqua"/>
          <w:color w:val="000000"/>
        </w:rPr>
      </w:pPr>
      <w:r w:rsidRPr="007D4215">
        <w:rPr>
          <w:rFonts w:ascii="Book Antiqua" w:eastAsia="Times New Roman" w:hAnsi="Book Antiqua" w:cs="Tahoma"/>
          <w:color w:val="000000"/>
        </w:rPr>
        <w:t xml:space="preserve">The Hon’ble Commission has approved </w:t>
      </w:r>
      <w:r>
        <w:rPr>
          <w:rFonts w:ascii="Book Antiqua" w:eastAsia="Times New Roman" w:hAnsi="Book Antiqua" w:cs="Tahoma"/>
          <w:color w:val="000000"/>
        </w:rPr>
        <w:t>in Bulk Supply Tariff (</w:t>
      </w:r>
      <w:r w:rsidRPr="007D4215">
        <w:rPr>
          <w:rFonts w:ascii="Book Antiqua" w:eastAsia="Times New Roman" w:hAnsi="Book Antiqua" w:cs="Tahoma"/>
          <w:color w:val="000000"/>
        </w:rPr>
        <w:t>BST</w:t>
      </w:r>
      <w:r>
        <w:rPr>
          <w:rFonts w:ascii="Book Antiqua" w:eastAsia="Times New Roman" w:hAnsi="Book Antiqua" w:cs="Tahoma"/>
          <w:color w:val="000000"/>
        </w:rPr>
        <w:t>)</w:t>
      </w:r>
      <w:r w:rsidRPr="007D4215">
        <w:rPr>
          <w:rFonts w:ascii="Book Antiqua" w:eastAsia="Times New Roman" w:hAnsi="Book Antiqua" w:cs="Tahoma"/>
          <w:color w:val="000000"/>
        </w:rPr>
        <w:t xml:space="preserve"> Mechanism for allocation of power purchase cost incurred by GUVNL to DISCOMs. Accordingly, power purchase cost for FY 2018-19 is allocated to DISCOMs on bulk supply basis and therefore in Form-2 of the petition,</w:t>
      </w:r>
      <w:r w:rsidR="00D7789B">
        <w:rPr>
          <w:rFonts w:ascii="Book Antiqua" w:eastAsia="Times New Roman" w:hAnsi="Book Antiqua" w:cs="Tahoma"/>
          <w:color w:val="000000"/>
        </w:rPr>
        <w:t xml:space="preserve"> is the</w:t>
      </w:r>
      <w:r w:rsidRPr="007D4215">
        <w:rPr>
          <w:rFonts w:ascii="Book Antiqua" w:eastAsia="Times New Roman" w:hAnsi="Book Antiqua" w:cs="Tahoma"/>
          <w:color w:val="000000"/>
        </w:rPr>
        <w:t xml:space="preserve"> combined power purchase cost incurred by GUVNL</w:t>
      </w:r>
      <w:r w:rsidR="00D7789B">
        <w:rPr>
          <w:rFonts w:ascii="Book Antiqua" w:eastAsia="Times New Roman" w:hAnsi="Book Antiqua" w:cs="Tahoma"/>
          <w:color w:val="000000"/>
        </w:rPr>
        <w:t>.</w:t>
      </w:r>
      <w:bookmarkStart w:id="2" w:name="_Hlk29385062"/>
      <w:r w:rsidR="00D7789B">
        <w:rPr>
          <w:rFonts w:ascii="Book Antiqua" w:eastAsia="Times New Roman" w:hAnsi="Book Antiqua" w:cs="Tahoma"/>
          <w:color w:val="000000"/>
        </w:rPr>
        <w:t>S</w:t>
      </w:r>
      <w:r>
        <w:rPr>
          <w:rFonts w:ascii="Book Antiqua" w:eastAsia="Times New Roman" w:hAnsi="Book Antiqua" w:cs="Tahoma"/>
          <w:color w:val="000000"/>
        </w:rPr>
        <w:t>ummarised detail</w:t>
      </w:r>
      <w:r w:rsidR="00D7789B">
        <w:rPr>
          <w:rFonts w:ascii="Book Antiqua" w:eastAsia="Times New Roman" w:hAnsi="Book Antiqua" w:cs="Tahoma"/>
          <w:color w:val="000000"/>
        </w:rPr>
        <w:t>ed</w:t>
      </w:r>
      <w:r>
        <w:rPr>
          <w:rFonts w:ascii="Book Antiqua" w:eastAsia="Times New Roman" w:hAnsi="Book Antiqua" w:cs="Tahoma"/>
          <w:color w:val="000000"/>
        </w:rPr>
        <w:t xml:space="preserve"> power Purchase cost of Individual Discom is provided in </w:t>
      </w:r>
      <w:r w:rsidR="000F3253">
        <w:rPr>
          <w:rFonts w:ascii="Book Antiqua" w:eastAsia="Times New Roman" w:hAnsi="Book Antiqua" w:cs="Tahoma"/>
          <w:color w:val="000000"/>
        </w:rPr>
        <w:t xml:space="preserve">reply to </w:t>
      </w:r>
      <w:r>
        <w:rPr>
          <w:rFonts w:ascii="Book Antiqua" w:eastAsia="Times New Roman" w:hAnsi="Book Antiqua" w:cs="Tahoma"/>
          <w:color w:val="000000"/>
        </w:rPr>
        <w:t xml:space="preserve">query </w:t>
      </w:r>
      <w:r w:rsidR="000F3253">
        <w:rPr>
          <w:rFonts w:ascii="Book Antiqua" w:eastAsia="Times New Roman" w:hAnsi="Book Antiqua" w:cs="Tahoma"/>
          <w:color w:val="000000"/>
        </w:rPr>
        <w:t xml:space="preserve">sr. no. </w:t>
      </w:r>
      <w:r>
        <w:rPr>
          <w:rFonts w:ascii="Book Antiqua" w:eastAsia="Times New Roman" w:hAnsi="Book Antiqua" w:cs="Tahoma"/>
          <w:color w:val="000000"/>
        </w:rPr>
        <w:t>10</w:t>
      </w:r>
      <w:r w:rsidR="00D7789B">
        <w:rPr>
          <w:rFonts w:ascii="Book Antiqua" w:eastAsia="Times New Roman" w:hAnsi="Book Antiqua" w:cs="Tahoma"/>
          <w:color w:val="000000"/>
        </w:rPr>
        <w:t>-e</w:t>
      </w:r>
      <w:r>
        <w:rPr>
          <w:rFonts w:ascii="Book Antiqua" w:eastAsia="Times New Roman" w:hAnsi="Book Antiqua" w:cs="Tahoma"/>
          <w:color w:val="000000"/>
        </w:rPr>
        <w:t>.</w:t>
      </w:r>
      <w:bookmarkEnd w:id="2"/>
    </w:p>
    <w:p w:rsidR="002E5E0B" w:rsidRPr="00C244F6" w:rsidRDefault="00D20D68" w:rsidP="002E5E0B">
      <w:pPr>
        <w:numPr>
          <w:ilvl w:val="1"/>
          <w:numId w:val="4"/>
        </w:numPr>
        <w:spacing w:after="240" w:line="276" w:lineRule="auto"/>
        <w:ind w:left="1434" w:hanging="357"/>
        <w:jc w:val="both"/>
        <w:rPr>
          <w:rFonts w:eastAsia="Times New Roman"/>
          <w:b/>
          <w:bCs/>
          <w:color w:val="000000"/>
        </w:rPr>
      </w:pPr>
      <w:r w:rsidRPr="00C244F6">
        <w:rPr>
          <w:rFonts w:ascii="Book Antiqua" w:eastAsia="Times New Roman" w:hAnsi="Book Antiqua"/>
          <w:b/>
          <w:bCs/>
          <w:color w:val="000000"/>
        </w:rPr>
        <w:t>Show the DISCOM-wise power purchase considered from various sources, as Form 2 submitted by UGVCL summarises the combined power purchase of all 4 State DISCOMs</w:t>
      </w:r>
    </w:p>
    <w:p w:rsidR="002E5E0B" w:rsidRPr="00842814" w:rsidRDefault="002E5E0B" w:rsidP="007D4215">
      <w:pPr>
        <w:spacing w:after="240"/>
        <w:ind w:left="426"/>
        <w:jc w:val="both"/>
        <w:rPr>
          <w:rFonts w:ascii="Book Antiqua" w:hAnsi="Book Antiqua"/>
          <w:b/>
          <w:bCs/>
          <w:lang w:val="en-GB"/>
        </w:rPr>
      </w:pPr>
      <w:r w:rsidRPr="00842814">
        <w:rPr>
          <w:rFonts w:ascii="Book Antiqua" w:hAnsi="Book Antiqua"/>
          <w:b/>
          <w:bCs/>
          <w:lang w:val="en-GB"/>
        </w:rPr>
        <w:t>Compliance:</w:t>
      </w:r>
      <w:r w:rsidR="002809F1" w:rsidRPr="00842814">
        <w:rPr>
          <w:rFonts w:ascii="Book Antiqua" w:hAnsi="Book Antiqua"/>
          <w:b/>
          <w:bCs/>
          <w:lang w:val="en-GB"/>
        </w:rPr>
        <w:t xml:space="preserve"> -</w:t>
      </w:r>
    </w:p>
    <w:p w:rsidR="00C244F6" w:rsidRDefault="00C244F6" w:rsidP="00C244F6">
      <w:pPr>
        <w:spacing w:after="240" w:line="276" w:lineRule="auto"/>
        <w:ind w:left="709"/>
        <w:jc w:val="both"/>
        <w:rPr>
          <w:rFonts w:ascii="Book Antiqua" w:eastAsia="Times New Roman" w:hAnsi="Book Antiqua"/>
          <w:color w:val="000000"/>
        </w:rPr>
      </w:pPr>
      <w:bookmarkStart w:id="3" w:name="_Hlk29385130"/>
      <w:r w:rsidRPr="007D4215">
        <w:rPr>
          <w:rFonts w:ascii="Book Antiqua" w:eastAsia="Times New Roman" w:hAnsi="Book Antiqua"/>
          <w:color w:val="000000"/>
        </w:rPr>
        <w:t>The information provided in Form – 2 of Petition is aggregate power purchased by GUVNL on behalf of four DISCOMs. The details of power purchase cost of individual DISCOM is as under:</w:t>
      </w:r>
    </w:p>
    <w:bookmarkEnd w:id="3"/>
    <w:p w:rsidR="00C244F6" w:rsidRPr="007D4215" w:rsidRDefault="00C244F6" w:rsidP="00CE416F">
      <w:pPr>
        <w:spacing w:line="276" w:lineRule="auto"/>
        <w:ind w:left="709" w:right="401"/>
        <w:jc w:val="right"/>
        <w:rPr>
          <w:rFonts w:ascii="Book Antiqua" w:eastAsia="Times New Roman" w:hAnsi="Book Antiqua"/>
          <w:color w:val="000000"/>
        </w:rPr>
      </w:pPr>
      <w:r>
        <w:rPr>
          <w:rFonts w:ascii="Book Antiqua" w:eastAsia="Times New Roman" w:hAnsi="Book Antiqua"/>
          <w:color w:val="000000"/>
        </w:rPr>
        <w:t>Rs Crore</w:t>
      </w:r>
    </w:p>
    <w:tbl>
      <w:tblPr>
        <w:tblW w:w="9475" w:type="dxa"/>
        <w:tblInd w:w="675" w:type="dxa"/>
        <w:tblLayout w:type="fixed"/>
        <w:tblLook w:val="04A0"/>
      </w:tblPr>
      <w:tblGrid>
        <w:gridCol w:w="1895"/>
        <w:gridCol w:w="874"/>
        <w:gridCol w:w="875"/>
        <w:gridCol w:w="874"/>
        <w:gridCol w:w="875"/>
        <w:gridCol w:w="1021"/>
        <w:gridCol w:w="1020"/>
        <w:gridCol w:w="1166"/>
        <w:gridCol w:w="875"/>
      </w:tblGrid>
      <w:tr w:rsidR="00C244F6" w:rsidRPr="00AE4822" w:rsidTr="00B377ED">
        <w:trPr>
          <w:cantSplit/>
          <w:trHeight w:val="518"/>
          <w:tblHeader/>
        </w:trPr>
        <w:tc>
          <w:tcPr>
            <w:tcW w:w="1895" w:type="dxa"/>
            <w:vMerge w:val="restart"/>
            <w:tcBorders>
              <w:top w:val="single" w:sz="4" w:space="0" w:color="auto"/>
              <w:left w:val="single" w:sz="4" w:space="0" w:color="auto"/>
              <w:bottom w:val="single" w:sz="4" w:space="0" w:color="000000"/>
              <w:right w:val="single" w:sz="4" w:space="0" w:color="auto"/>
            </w:tcBorders>
            <w:shd w:val="clear" w:color="auto" w:fill="FABF8F" w:themeFill="accent6" w:themeFillTint="99"/>
            <w:vAlign w:val="center"/>
            <w:hideMark/>
          </w:tcPr>
          <w:p w:rsidR="00C244F6" w:rsidRPr="00572244" w:rsidRDefault="00C244F6" w:rsidP="00B377ED">
            <w:pPr>
              <w:jc w:val="center"/>
              <w:rPr>
                <w:rFonts w:eastAsia="Times New Roman" w:cs="Arial"/>
                <w:b/>
                <w:bCs/>
                <w:color w:val="000000"/>
                <w:sz w:val="20"/>
                <w:szCs w:val="20"/>
              </w:rPr>
            </w:pPr>
            <w:r w:rsidRPr="00572244">
              <w:rPr>
                <w:rFonts w:eastAsia="Times New Roman" w:cs="Arial"/>
                <w:b/>
                <w:bCs/>
                <w:color w:val="000000"/>
                <w:sz w:val="20"/>
                <w:szCs w:val="20"/>
              </w:rPr>
              <w:t>Particulars</w:t>
            </w:r>
          </w:p>
        </w:tc>
        <w:tc>
          <w:tcPr>
            <w:tcW w:w="874"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C244F6" w:rsidRPr="00572244" w:rsidRDefault="00C244F6" w:rsidP="00B377ED">
            <w:pPr>
              <w:jc w:val="center"/>
              <w:rPr>
                <w:rFonts w:eastAsia="Times New Roman" w:cs="Arial"/>
                <w:b/>
                <w:bCs/>
                <w:color w:val="000000"/>
                <w:sz w:val="20"/>
                <w:szCs w:val="20"/>
              </w:rPr>
            </w:pPr>
            <w:r w:rsidRPr="00572244">
              <w:rPr>
                <w:rFonts w:eastAsia="Times New Roman" w:cs="Arial"/>
                <w:b/>
                <w:bCs/>
                <w:color w:val="000000"/>
                <w:sz w:val="20"/>
                <w:szCs w:val="20"/>
              </w:rPr>
              <w:t>DGVCL</w:t>
            </w:r>
          </w:p>
        </w:tc>
        <w:tc>
          <w:tcPr>
            <w:tcW w:w="875"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C244F6" w:rsidRPr="00572244" w:rsidRDefault="00C244F6" w:rsidP="00B377ED">
            <w:pPr>
              <w:jc w:val="center"/>
              <w:rPr>
                <w:rFonts w:eastAsia="Times New Roman" w:cs="Arial"/>
                <w:b/>
                <w:bCs/>
                <w:color w:val="000000"/>
                <w:sz w:val="20"/>
                <w:szCs w:val="20"/>
              </w:rPr>
            </w:pPr>
            <w:r w:rsidRPr="00572244">
              <w:rPr>
                <w:rFonts w:eastAsia="Times New Roman" w:cs="Arial"/>
                <w:b/>
                <w:bCs/>
                <w:color w:val="000000"/>
                <w:sz w:val="20"/>
                <w:szCs w:val="20"/>
              </w:rPr>
              <w:t>MGVCL</w:t>
            </w:r>
          </w:p>
        </w:tc>
        <w:tc>
          <w:tcPr>
            <w:tcW w:w="874"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C244F6" w:rsidRPr="00572244" w:rsidRDefault="00C244F6" w:rsidP="00B377ED">
            <w:pPr>
              <w:jc w:val="center"/>
              <w:rPr>
                <w:rFonts w:eastAsia="Times New Roman" w:cs="Arial"/>
                <w:b/>
                <w:bCs/>
                <w:color w:val="000000"/>
                <w:sz w:val="20"/>
                <w:szCs w:val="20"/>
              </w:rPr>
            </w:pPr>
            <w:r w:rsidRPr="00572244">
              <w:rPr>
                <w:rFonts w:eastAsia="Times New Roman" w:cs="Arial"/>
                <w:b/>
                <w:bCs/>
                <w:color w:val="000000"/>
                <w:sz w:val="20"/>
                <w:szCs w:val="20"/>
              </w:rPr>
              <w:t>PGVCL</w:t>
            </w:r>
          </w:p>
        </w:tc>
        <w:tc>
          <w:tcPr>
            <w:tcW w:w="875"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C244F6" w:rsidRPr="00572244" w:rsidRDefault="00C244F6" w:rsidP="00B377ED">
            <w:pPr>
              <w:jc w:val="center"/>
              <w:rPr>
                <w:rFonts w:eastAsia="Times New Roman" w:cs="Arial"/>
                <w:b/>
                <w:bCs/>
                <w:color w:val="000000"/>
                <w:sz w:val="20"/>
                <w:szCs w:val="20"/>
              </w:rPr>
            </w:pPr>
            <w:r w:rsidRPr="00572244">
              <w:rPr>
                <w:rFonts w:eastAsia="Times New Roman" w:cs="Arial"/>
                <w:b/>
                <w:bCs/>
                <w:color w:val="000000"/>
                <w:sz w:val="20"/>
                <w:szCs w:val="20"/>
              </w:rPr>
              <w:t>UGVCL</w:t>
            </w:r>
          </w:p>
        </w:tc>
        <w:tc>
          <w:tcPr>
            <w:tcW w:w="102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244F6" w:rsidRPr="00572244" w:rsidRDefault="00C244F6" w:rsidP="00B377ED">
            <w:pPr>
              <w:jc w:val="center"/>
              <w:rPr>
                <w:rFonts w:eastAsia="Times New Roman" w:cs="Arial"/>
                <w:b/>
                <w:bCs/>
                <w:color w:val="000000"/>
                <w:sz w:val="20"/>
                <w:szCs w:val="20"/>
              </w:rPr>
            </w:pPr>
            <w:r w:rsidRPr="00572244">
              <w:rPr>
                <w:rFonts w:eastAsia="Times New Roman" w:cs="Arial"/>
                <w:b/>
                <w:bCs/>
                <w:color w:val="000000"/>
                <w:sz w:val="20"/>
                <w:szCs w:val="20"/>
              </w:rPr>
              <w:t>Total for DISCOMS</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244F6" w:rsidRPr="00572244" w:rsidRDefault="00C244F6" w:rsidP="00B377ED">
            <w:pPr>
              <w:jc w:val="center"/>
              <w:rPr>
                <w:rFonts w:eastAsia="Times New Roman" w:cs="Arial"/>
                <w:b/>
                <w:bCs/>
                <w:color w:val="000000"/>
                <w:sz w:val="20"/>
                <w:szCs w:val="20"/>
              </w:rPr>
            </w:pPr>
            <w:r w:rsidRPr="00572244">
              <w:rPr>
                <w:rFonts w:eastAsia="Times New Roman" w:cs="Arial"/>
                <w:b/>
                <w:bCs/>
                <w:color w:val="000000"/>
                <w:sz w:val="20"/>
                <w:szCs w:val="20"/>
              </w:rPr>
              <w:t>Sale to GACL from Adani</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244F6" w:rsidRPr="00572244" w:rsidRDefault="00C244F6" w:rsidP="00B377ED">
            <w:pPr>
              <w:jc w:val="center"/>
              <w:rPr>
                <w:rFonts w:eastAsia="Times New Roman" w:cs="Arial"/>
                <w:b/>
                <w:bCs/>
                <w:color w:val="000000"/>
                <w:sz w:val="20"/>
                <w:szCs w:val="20"/>
              </w:rPr>
            </w:pPr>
            <w:r w:rsidRPr="00572244">
              <w:rPr>
                <w:rFonts w:eastAsia="Times New Roman" w:cs="Arial"/>
                <w:b/>
                <w:bCs/>
                <w:color w:val="000000"/>
                <w:sz w:val="20"/>
                <w:szCs w:val="20"/>
              </w:rPr>
              <w:t>Amt. not passed on to DISCOMs</w:t>
            </w:r>
          </w:p>
        </w:tc>
        <w:tc>
          <w:tcPr>
            <w:tcW w:w="875" w:type="dxa"/>
            <w:vMerge w:val="restart"/>
            <w:tcBorders>
              <w:top w:val="single" w:sz="4" w:space="0" w:color="auto"/>
              <w:left w:val="single" w:sz="4" w:space="0" w:color="auto"/>
              <w:bottom w:val="single" w:sz="4" w:space="0" w:color="000000"/>
              <w:right w:val="single" w:sz="4" w:space="0" w:color="auto"/>
            </w:tcBorders>
            <w:shd w:val="clear" w:color="auto" w:fill="FABF8F" w:themeFill="accent6" w:themeFillTint="99"/>
            <w:vAlign w:val="center"/>
            <w:hideMark/>
          </w:tcPr>
          <w:p w:rsidR="00C244F6" w:rsidRPr="00572244" w:rsidRDefault="00C244F6" w:rsidP="00B377ED">
            <w:pPr>
              <w:jc w:val="center"/>
              <w:rPr>
                <w:rFonts w:eastAsia="Times New Roman" w:cs="Arial"/>
                <w:b/>
                <w:bCs/>
                <w:color w:val="000000"/>
                <w:sz w:val="20"/>
                <w:szCs w:val="20"/>
              </w:rPr>
            </w:pPr>
            <w:r w:rsidRPr="00572244">
              <w:rPr>
                <w:rFonts w:eastAsia="Times New Roman" w:cs="Arial"/>
                <w:b/>
                <w:bCs/>
                <w:color w:val="000000"/>
                <w:sz w:val="20"/>
                <w:szCs w:val="20"/>
              </w:rPr>
              <w:t>Total</w:t>
            </w:r>
          </w:p>
        </w:tc>
      </w:tr>
      <w:tr w:rsidR="00C244F6" w:rsidRPr="00AE4822" w:rsidTr="00B377ED">
        <w:trPr>
          <w:cantSplit/>
          <w:trHeight w:val="461"/>
          <w:tblHeader/>
        </w:trPr>
        <w:tc>
          <w:tcPr>
            <w:tcW w:w="1895" w:type="dxa"/>
            <w:vMerge/>
            <w:tcBorders>
              <w:top w:val="single" w:sz="4" w:space="0" w:color="auto"/>
              <w:left w:val="single" w:sz="4" w:space="0" w:color="auto"/>
              <w:bottom w:val="single" w:sz="4" w:space="0" w:color="000000"/>
              <w:right w:val="single" w:sz="4" w:space="0" w:color="auto"/>
            </w:tcBorders>
            <w:vAlign w:val="center"/>
            <w:hideMark/>
          </w:tcPr>
          <w:p w:rsidR="00C244F6" w:rsidRPr="00AA40AF" w:rsidRDefault="00C244F6" w:rsidP="00B377ED">
            <w:pPr>
              <w:rPr>
                <w:rFonts w:asciiTheme="minorHAnsi" w:eastAsia="Times New Roman" w:hAnsiTheme="minorHAnsi" w:cs="Arial"/>
                <w:b/>
                <w:bCs/>
                <w:color w:val="000000"/>
                <w:sz w:val="20"/>
                <w:szCs w:val="20"/>
              </w:rPr>
            </w:pPr>
          </w:p>
        </w:tc>
        <w:tc>
          <w:tcPr>
            <w:tcW w:w="4519" w:type="dxa"/>
            <w:gridSpan w:val="5"/>
            <w:tcBorders>
              <w:top w:val="single" w:sz="4" w:space="0" w:color="auto"/>
              <w:left w:val="nil"/>
              <w:bottom w:val="single" w:sz="4" w:space="0" w:color="auto"/>
              <w:right w:val="single" w:sz="4" w:space="0" w:color="auto"/>
            </w:tcBorders>
            <w:shd w:val="clear" w:color="auto" w:fill="FABF8F" w:themeFill="accent6" w:themeFillTint="99"/>
            <w:vAlign w:val="center"/>
            <w:hideMark/>
          </w:tcPr>
          <w:p w:rsidR="00C244F6" w:rsidRPr="00AA40AF" w:rsidRDefault="00C244F6" w:rsidP="00B377ED">
            <w:pPr>
              <w:jc w:val="center"/>
              <w:rPr>
                <w:rFonts w:asciiTheme="minorHAnsi" w:eastAsia="Times New Roman" w:hAnsiTheme="minorHAnsi" w:cs="Arial"/>
                <w:b/>
                <w:bCs/>
                <w:color w:val="000000"/>
                <w:sz w:val="20"/>
                <w:szCs w:val="20"/>
              </w:rPr>
            </w:pPr>
            <w:r w:rsidRPr="00AA40AF">
              <w:rPr>
                <w:rFonts w:asciiTheme="minorHAnsi" w:eastAsia="Times New Roman" w:hAnsiTheme="minorHAnsi" w:cs="Arial"/>
                <w:b/>
                <w:bCs/>
                <w:color w:val="000000"/>
                <w:sz w:val="20"/>
                <w:szCs w:val="20"/>
              </w:rPr>
              <w:t>Under BST mechanism</w:t>
            </w: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C244F6" w:rsidRPr="00AA40AF" w:rsidRDefault="00C244F6" w:rsidP="00B377ED">
            <w:pPr>
              <w:rPr>
                <w:rFonts w:asciiTheme="minorHAnsi" w:eastAsia="Times New Roman" w:hAnsiTheme="minorHAnsi" w:cs="Arial"/>
                <w:b/>
                <w:bCs/>
                <w:color w:val="000000"/>
                <w:sz w:val="20"/>
                <w:szCs w:val="20"/>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C244F6" w:rsidRPr="00AA40AF" w:rsidRDefault="00C244F6" w:rsidP="00B377ED">
            <w:pPr>
              <w:rPr>
                <w:rFonts w:asciiTheme="minorHAnsi" w:eastAsia="Times New Roman" w:hAnsiTheme="minorHAnsi" w:cs="Arial"/>
                <w:b/>
                <w:bCs/>
                <w:color w:val="000000"/>
                <w:sz w:val="20"/>
                <w:szCs w:val="20"/>
              </w:rPr>
            </w:pPr>
          </w:p>
        </w:tc>
        <w:tc>
          <w:tcPr>
            <w:tcW w:w="875" w:type="dxa"/>
            <w:vMerge/>
            <w:tcBorders>
              <w:top w:val="single" w:sz="4" w:space="0" w:color="auto"/>
              <w:left w:val="single" w:sz="4" w:space="0" w:color="auto"/>
              <w:bottom w:val="single" w:sz="4" w:space="0" w:color="000000"/>
              <w:right w:val="single" w:sz="4" w:space="0" w:color="auto"/>
            </w:tcBorders>
            <w:vAlign w:val="center"/>
            <w:hideMark/>
          </w:tcPr>
          <w:p w:rsidR="00C244F6" w:rsidRPr="00AA40AF" w:rsidRDefault="00C244F6" w:rsidP="00B377ED">
            <w:pPr>
              <w:rPr>
                <w:rFonts w:asciiTheme="minorHAnsi" w:eastAsia="Times New Roman" w:hAnsiTheme="minorHAnsi" w:cs="Arial"/>
                <w:b/>
                <w:bCs/>
                <w:color w:val="000000"/>
                <w:sz w:val="20"/>
                <w:szCs w:val="20"/>
              </w:rPr>
            </w:pPr>
          </w:p>
        </w:tc>
      </w:tr>
      <w:tr w:rsidR="00C244F6" w:rsidRPr="00AE4822" w:rsidTr="00B377ED">
        <w:trPr>
          <w:trHeight w:val="498"/>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244F6" w:rsidRPr="00572244" w:rsidRDefault="00C244F6" w:rsidP="00B377ED">
            <w:pPr>
              <w:jc w:val="both"/>
              <w:rPr>
                <w:rFonts w:eastAsia="Times New Roman" w:cs="Arial"/>
                <w:color w:val="000000"/>
                <w:sz w:val="20"/>
                <w:szCs w:val="20"/>
              </w:rPr>
            </w:pPr>
            <w:r w:rsidRPr="00572244">
              <w:rPr>
                <w:rFonts w:eastAsia="Times New Roman" w:cs="Arial"/>
                <w:color w:val="000000"/>
                <w:sz w:val="20"/>
                <w:szCs w:val="20"/>
              </w:rPr>
              <w:t>Power Purchased through GUVNL</w:t>
            </w:r>
          </w:p>
        </w:tc>
        <w:tc>
          <w:tcPr>
            <w:tcW w:w="874" w:type="dxa"/>
            <w:tcBorders>
              <w:top w:val="nil"/>
              <w:left w:val="nil"/>
              <w:bottom w:val="single" w:sz="4" w:space="0" w:color="auto"/>
              <w:right w:val="single" w:sz="4" w:space="0" w:color="auto"/>
            </w:tcBorders>
            <w:shd w:val="clear" w:color="auto" w:fill="auto"/>
            <w:vAlign w:val="center"/>
            <w:hideMark/>
          </w:tcPr>
          <w:p w:rsidR="00C244F6" w:rsidRPr="00572244" w:rsidRDefault="00C244F6" w:rsidP="00B377ED">
            <w:pPr>
              <w:ind w:left="-114" w:right="-105"/>
              <w:jc w:val="center"/>
              <w:rPr>
                <w:rFonts w:eastAsia="Times New Roman" w:cs="Arial"/>
                <w:color w:val="000000"/>
                <w:sz w:val="20"/>
                <w:szCs w:val="20"/>
              </w:rPr>
            </w:pPr>
            <w:r w:rsidRPr="00572244">
              <w:rPr>
                <w:rFonts w:eastAsia="Times New Roman" w:cs="Arial"/>
                <w:color w:val="000000"/>
                <w:sz w:val="20"/>
                <w:szCs w:val="20"/>
              </w:rPr>
              <w:t>1200</w:t>
            </w:r>
            <w:r>
              <w:rPr>
                <w:rFonts w:eastAsia="Times New Roman" w:cs="Arial"/>
                <w:color w:val="000000"/>
                <w:sz w:val="20"/>
                <w:szCs w:val="20"/>
              </w:rPr>
              <w:t>1.68</w:t>
            </w:r>
          </w:p>
        </w:tc>
        <w:tc>
          <w:tcPr>
            <w:tcW w:w="875" w:type="dxa"/>
            <w:tcBorders>
              <w:top w:val="nil"/>
              <w:left w:val="nil"/>
              <w:bottom w:val="single" w:sz="4" w:space="0" w:color="auto"/>
              <w:right w:val="single" w:sz="4" w:space="0" w:color="auto"/>
            </w:tcBorders>
            <w:shd w:val="clear" w:color="auto" w:fill="auto"/>
            <w:vAlign w:val="center"/>
            <w:hideMark/>
          </w:tcPr>
          <w:p w:rsidR="00C244F6" w:rsidRPr="00572244" w:rsidRDefault="00C244F6" w:rsidP="00B377ED">
            <w:pPr>
              <w:ind w:left="-104" w:right="-101"/>
              <w:jc w:val="center"/>
              <w:rPr>
                <w:rFonts w:eastAsia="Times New Roman" w:cs="Arial"/>
                <w:color w:val="000000"/>
                <w:sz w:val="20"/>
                <w:szCs w:val="20"/>
              </w:rPr>
            </w:pPr>
            <w:r w:rsidRPr="00572244">
              <w:rPr>
                <w:rFonts w:eastAsia="Times New Roman" w:cs="Arial"/>
                <w:color w:val="000000"/>
                <w:sz w:val="20"/>
                <w:szCs w:val="20"/>
              </w:rPr>
              <w:t>5340</w:t>
            </w:r>
            <w:r>
              <w:rPr>
                <w:rFonts w:eastAsia="Times New Roman" w:cs="Arial"/>
                <w:color w:val="000000"/>
                <w:sz w:val="20"/>
                <w:szCs w:val="20"/>
              </w:rPr>
              <w:t>.20</w:t>
            </w:r>
          </w:p>
        </w:tc>
        <w:tc>
          <w:tcPr>
            <w:tcW w:w="874" w:type="dxa"/>
            <w:tcBorders>
              <w:top w:val="nil"/>
              <w:left w:val="nil"/>
              <w:bottom w:val="single" w:sz="4" w:space="0" w:color="auto"/>
              <w:right w:val="single" w:sz="4" w:space="0" w:color="auto"/>
            </w:tcBorders>
            <w:shd w:val="clear" w:color="auto" w:fill="auto"/>
            <w:vAlign w:val="center"/>
            <w:hideMark/>
          </w:tcPr>
          <w:p w:rsidR="00C244F6" w:rsidRPr="00452BE0" w:rsidRDefault="00C244F6" w:rsidP="00B377ED">
            <w:pPr>
              <w:ind w:left="-108" w:right="-111"/>
              <w:jc w:val="center"/>
              <w:rPr>
                <w:rFonts w:eastAsia="Times New Roman" w:cs="Arial"/>
                <w:color w:val="000000"/>
                <w:sz w:val="20"/>
                <w:szCs w:val="20"/>
              </w:rPr>
            </w:pPr>
            <w:r w:rsidRPr="00572244">
              <w:rPr>
                <w:rFonts w:eastAsia="Times New Roman" w:cs="Arial"/>
                <w:color w:val="000000"/>
                <w:sz w:val="20"/>
                <w:szCs w:val="20"/>
              </w:rPr>
              <w:t>1541</w:t>
            </w:r>
            <w:r>
              <w:rPr>
                <w:rFonts w:eastAsia="Times New Roman" w:cs="Arial"/>
                <w:color w:val="000000"/>
                <w:sz w:val="20"/>
                <w:szCs w:val="20"/>
              </w:rPr>
              <w:t>7.99</w:t>
            </w:r>
          </w:p>
        </w:tc>
        <w:tc>
          <w:tcPr>
            <w:tcW w:w="875" w:type="dxa"/>
            <w:tcBorders>
              <w:top w:val="nil"/>
              <w:left w:val="nil"/>
              <w:bottom w:val="single" w:sz="4" w:space="0" w:color="auto"/>
              <w:right w:val="single" w:sz="4" w:space="0" w:color="auto"/>
            </w:tcBorders>
            <w:shd w:val="clear" w:color="auto" w:fill="auto"/>
            <w:vAlign w:val="center"/>
            <w:hideMark/>
          </w:tcPr>
          <w:p w:rsidR="00C244F6" w:rsidRPr="00572244" w:rsidRDefault="00C244F6" w:rsidP="00B377ED">
            <w:pPr>
              <w:ind w:left="-113" w:right="-45"/>
              <w:jc w:val="center"/>
              <w:rPr>
                <w:rFonts w:eastAsia="Times New Roman" w:cs="Arial"/>
                <w:color w:val="000000"/>
                <w:sz w:val="20"/>
                <w:szCs w:val="20"/>
              </w:rPr>
            </w:pPr>
            <w:r w:rsidRPr="00452BE0">
              <w:rPr>
                <w:rFonts w:eastAsia="Times New Roman" w:cs="Arial"/>
                <w:color w:val="000000"/>
                <w:sz w:val="20"/>
                <w:szCs w:val="20"/>
              </w:rPr>
              <w:t>11218</w:t>
            </w:r>
            <w:r>
              <w:rPr>
                <w:rFonts w:eastAsia="Times New Roman" w:cs="Arial"/>
                <w:color w:val="000000"/>
                <w:sz w:val="20"/>
                <w:szCs w:val="20"/>
              </w:rPr>
              <w:t>.15</w:t>
            </w:r>
          </w:p>
        </w:tc>
        <w:tc>
          <w:tcPr>
            <w:tcW w:w="1020" w:type="dxa"/>
            <w:tcBorders>
              <w:top w:val="single" w:sz="4" w:space="0" w:color="auto"/>
              <w:left w:val="nil"/>
              <w:bottom w:val="single" w:sz="4" w:space="0" w:color="auto"/>
              <w:right w:val="single" w:sz="4" w:space="0" w:color="auto"/>
            </w:tcBorders>
            <w:vAlign w:val="center"/>
          </w:tcPr>
          <w:p w:rsidR="00C244F6" w:rsidRPr="00572244" w:rsidRDefault="00C244F6" w:rsidP="00B377ED">
            <w:pPr>
              <w:jc w:val="center"/>
              <w:rPr>
                <w:rFonts w:eastAsia="Times New Roman" w:cs="Arial"/>
                <w:sz w:val="20"/>
                <w:szCs w:val="20"/>
              </w:rPr>
            </w:pPr>
            <w:r>
              <w:rPr>
                <w:rFonts w:eastAsia="Times New Roman" w:cs="Arial"/>
                <w:sz w:val="20"/>
                <w:szCs w:val="20"/>
              </w:rPr>
              <w:t>43978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4F6" w:rsidRPr="00452BE0" w:rsidRDefault="00C244F6" w:rsidP="00B377ED">
            <w:pPr>
              <w:jc w:val="center"/>
              <w:rPr>
                <w:rFonts w:eastAsia="Times New Roman" w:cs="Arial"/>
                <w:color w:val="000000"/>
                <w:sz w:val="20"/>
                <w:szCs w:val="20"/>
              </w:rPr>
            </w:pPr>
            <w:r w:rsidRPr="00452BE0">
              <w:rPr>
                <w:rFonts w:eastAsia="Times New Roman" w:cs="Arial"/>
                <w:color w:val="000000"/>
                <w:sz w:val="20"/>
                <w:szCs w:val="20"/>
              </w:rPr>
              <w:t>106</w:t>
            </w:r>
          </w:p>
        </w:tc>
        <w:tc>
          <w:tcPr>
            <w:tcW w:w="1166" w:type="dxa"/>
            <w:tcBorders>
              <w:top w:val="nil"/>
              <w:left w:val="nil"/>
              <w:bottom w:val="single" w:sz="4" w:space="0" w:color="auto"/>
              <w:right w:val="single" w:sz="4" w:space="0" w:color="auto"/>
            </w:tcBorders>
            <w:shd w:val="clear" w:color="auto" w:fill="auto"/>
            <w:vAlign w:val="center"/>
            <w:hideMark/>
          </w:tcPr>
          <w:p w:rsidR="00C244F6" w:rsidRPr="00452BE0" w:rsidRDefault="00C244F6" w:rsidP="00B377ED">
            <w:pPr>
              <w:jc w:val="center"/>
              <w:rPr>
                <w:rFonts w:eastAsia="Times New Roman" w:cs="Arial"/>
                <w:color w:val="000000"/>
                <w:sz w:val="20"/>
                <w:szCs w:val="20"/>
              </w:rPr>
            </w:pPr>
            <w:r w:rsidRPr="00452BE0">
              <w:rPr>
                <w:rFonts w:eastAsia="Times New Roman" w:cs="Arial"/>
                <w:color w:val="000000"/>
                <w:sz w:val="20"/>
                <w:szCs w:val="20"/>
              </w:rPr>
              <w:t>679</w:t>
            </w:r>
          </w:p>
        </w:tc>
        <w:tc>
          <w:tcPr>
            <w:tcW w:w="875" w:type="dxa"/>
            <w:tcBorders>
              <w:top w:val="nil"/>
              <w:left w:val="nil"/>
              <w:bottom w:val="single" w:sz="4" w:space="0" w:color="auto"/>
              <w:right w:val="single" w:sz="4" w:space="0" w:color="auto"/>
            </w:tcBorders>
            <w:shd w:val="clear" w:color="auto" w:fill="auto"/>
            <w:vAlign w:val="center"/>
            <w:hideMark/>
          </w:tcPr>
          <w:p w:rsidR="00C244F6" w:rsidRPr="00452BE0" w:rsidRDefault="00C244F6" w:rsidP="00B377ED">
            <w:pPr>
              <w:jc w:val="center"/>
              <w:rPr>
                <w:rFonts w:eastAsia="Times New Roman" w:cs="Arial"/>
                <w:color w:val="000000"/>
                <w:sz w:val="20"/>
                <w:szCs w:val="20"/>
              </w:rPr>
            </w:pPr>
            <w:r w:rsidRPr="00452BE0">
              <w:rPr>
                <w:rFonts w:eastAsia="Times New Roman" w:cs="Arial"/>
                <w:color w:val="000000"/>
                <w:sz w:val="20"/>
                <w:szCs w:val="20"/>
              </w:rPr>
              <w:t>44763</w:t>
            </w:r>
          </w:p>
        </w:tc>
      </w:tr>
      <w:tr w:rsidR="00C244F6" w:rsidRPr="00AE4822" w:rsidTr="00B377ED">
        <w:trPr>
          <w:trHeight w:val="747"/>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244F6" w:rsidRPr="00452BE0" w:rsidRDefault="00C244F6" w:rsidP="00B377ED">
            <w:pPr>
              <w:jc w:val="both"/>
              <w:rPr>
                <w:rFonts w:eastAsia="Times New Roman" w:cs="Arial"/>
                <w:color w:val="000000"/>
                <w:sz w:val="20"/>
                <w:szCs w:val="20"/>
              </w:rPr>
            </w:pPr>
            <w:r w:rsidRPr="00452BE0">
              <w:rPr>
                <w:rFonts w:eastAsia="Times New Roman" w:cs="Arial"/>
                <w:color w:val="000000"/>
                <w:sz w:val="20"/>
                <w:szCs w:val="20"/>
              </w:rPr>
              <w:t>Less: Sale of surplus power through GUVNL</w:t>
            </w:r>
          </w:p>
        </w:tc>
        <w:tc>
          <w:tcPr>
            <w:tcW w:w="874" w:type="dxa"/>
            <w:tcBorders>
              <w:top w:val="nil"/>
              <w:left w:val="nil"/>
              <w:bottom w:val="single" w:sz="4" w:space="0" w:color="auto"/>
              <w:right w:val="single" w:sz="4" w:space="0" w:color="auto"/>
            </w:tcBorders>
            <w:shd w:val="clear" w:color="auto" w:fill="auto"/>
            <w:vAlign w:val="center"/>
          </w:tcPr>
          <w:p w:rsidR="00C244F6" w:rsidRPr="00452BE0" w:rsidRDefault="00C244F6" w:rsidP="00B377ED">
            <w:pPr>
              <w:ind w:left="-114" w:right="-43"/>
              <w:jc w:val="right"/>
              <w:rPr>
                <w:rFonts w:eastAsia="Times New Roman" w:cs="Arial"/>
                <w:color w:val="000000"/>
                <w:sz w:val="20"/>
                <w:szCs w:val="20"/>
              </w:rPr>
            </w:pPr>
            <w:r>
              <w:rPr>
                <w:rFonts w:eastAsia="Times New Roman" w:cs="Arial"/>
                <w:color w:val="000000"/>
                <w:sz w:val="20"/>
                <w:szCs w:val="20"/>
              </w:rPr>
              <w:t>0</w:t>
            </w:r>
          </w:p>
        </w:tc>
        <w:tc>
          <w:tcPr>
            <w:tcW w:w="875" w:type="dxa"/>
            <w:tcBorders>
              <w:top w:val="nil"/>
              <w:left w:val="nil"/>
              <w:bottom w:val="single" w:sz="4" w:space="0" w:color="auto"/>
              <w:right w:val="single" w:sz="4" w:space="0" w:color="auto"/>
            </w:tcBorders>
            <w:shd w:val="clear" w:color="auto" w:fill="auto"/>
            <w:vAlign w:val="center"/>
            <w:hideMark/>
          </w:tcPr>
          <w:p w:rsidR="00C244F6" w:rsidRPr="00452BE0" w:rsidRDefault="00C244F6" w:rsidP="00B377ED">
            <w:pPr>
              <w:ind w:left="-104" w:right="-43"/>
              <w:jc w:val="right"/>
              <w:rPr>
                <w:rFonts w:eastAsia="Times New Roman" w:cs="Arial"/>
                <w:color w:val="000000"/>
                <w:sz w:val="20"/>
                <w:szCs w:val="20"/>
              </w:rPr>
            </w:pPr>
            <w:r>
              <w:rPr>
                <w:rFonts w:eastAsia="Times New Roman" w:cs="Arial"/>
                <w:color w:val="000000"/>
                <w:sz w:val="20"/>
                <w:szCs w:val="20"/>
              </w:rPr>
              <w:t>0</w:t>
            </w:r>
          </w:p>
        </w:tc>
        <w:tc>
          <w:tcPr>
            <w:tcW w:w="874" w:type="dxa"/>
            <w:tcBorders>
              <w:top w:val="nil"/>
              <w:left w:val="nil"/>
              <w:bottom w:val="single" w:sz="4" w:space="0" w:color="auto"/>
              <w:right w:val="single" w:sz="4" w:space="0" w:color="auto"/>
            </w:tcBorders>
            <w:shd w:val="clear" w:color="auto" w:fill="auto"/>
            <w:vAlign w:val="center"/>
            <w:hideMark/>
          </w:tcPr>
          <w:p w:rsidR="00C244F6" w:rsidRPr="00452BE0" w:rsidRDefault="00C244F6" w:rsidP="00B377ED">
            <w:pPr>
              <w:ind w:left="-108" w:right="-43"/>
              <w:jc w:val="right"/>
              <w:rPr>
                <w:rFonts w:eastAsia="Times New Roman" w:cs="Arial"/>
                <w:color w:val="000000"/>
                <w:sz w:val="20"/>
                <w:szCs w:val="20"/>
              </w:rPr>
            </w:pPr>
            <w:r>
              <w:rPr>
                <w:rFonts w:eastAsia="Times New Roman" w:cs="Arial"/>
                <w:color w:val="000000"/>
                <w:sz w:val="20"/>
                <w:szCs w:val="20"/>
              </w:rPr>
              <w:t>1.15</w:t>
            </w:r>
          </w:p>
        </w:tc>
        <w:tc>
          <w:tcPr>
            <w:tcW w:w="875" w:type="dxa"/>
            <w:tcBorders>
              <w:top w:val="nil"/>
              <w:left w:val="nil"/>
              <w:bottom w:val="single" w:sz="4" w:space="0" w:color="auto"/>
              <w:right w:val="single" w:sz="4" w:space="0" w:color="auto"/>
            </w:tcBorders>
            <w:shd w:val="clear" w:color="auto" w:fill="auto"/>
            <w:vAlign w:val="center"/>
            <w:hideMark/>
          </w:tcPr>
          <w:p w:rsidR="00C244F6" w:rsidRPr="00452BE0" w:rsidRDefault="00C244F6" w:rsidP="00B377ED">
            <w:pPr>
              <w:ind w:left="-113" w:right="-45"/>
              <w:jc w:val="right"/>
              <w:rPr>
                <w:rFonts w:eastAsia="Times New Roman" w:cs="Arial"/>
                <w:color w:val="000000"/>
                <w:sz w:val="20"/>
                <w:szCs w:val="20"/>
              </w:rPr>
            </w:pPr>
            <w:r>
              <w:rPr>
                <w:rFonts w:eastAsia="Times New Roman" w:cs="Arial"/>
                <w:color w:val="000000"/>
                <w:sz w:val="20"/>
                <w:szCs w:val="20"/>
              </w:rPr>
              <w:t>139.65</w:t>
            </w:r>
          </w:p>
        </w:tc>
        <w:tc>
          <w:tcPr>
            <w:tcW w:w="1020" w:type="dxa"/>
            <w:tcBorders>
              <w:top w:val="single" w:sz="4" w:space="0" w:color="auto"/>
              <w:left w:val="nil"/>
              <w:bottom w:val="single" w:sz="4" w:space="0" w:color="auto"/>
              <w:right w:val="single" w:sz="4" w:space="0" w:color="auto"/>
            </w:tcBorders>
          </w:tcPr>
          <w:p w:rsidR="00C244F6" w:rsidRPr="00452BE0" w:rsidRDefault="00C244F6" w:rsidP="00B377ED">
            <w:pPr>
              <w:jc w:val="both"/>
              <w:rPr>
                <w:rFonts w:eastAsia="Times New Roman" w:cs="Arial"/>
                <w:color w:val="000000"/>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C244F6" w:rsidRPr="00452BE0" w:rsidRDefault="00C244F6" w:rsidP="00B377ED">
            <w:pPr>
              <w:jc w:val="center"/>
              <w:rPr>
                <w:rFonts w:eastAsia="Times New Roman" w:cs="Arial"/>
                <w:color w:val="000000"/>
                <w:sz w:val="20"/>
                <w:szCs w:val="20"/>
              </w:rPr>
            </w:pPr>
            <w:r w:rsidRPr="00452BE0">
              <w:rPr>
                <w:rFonts w:eastAsia="Times New Roman" w:cs="Arial"/>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C244F6" w:rsidRPr="00452BE0" w:rsidRDefault="00C244F6" w:rsidP="00B377ED">
            <w:pPr>
              <w:jc w:val="center"/>
              <w:rPr>
                <w:rFonts w:eastAsia="Times New Roman" w:cs="Arial"/>
                <w:color w:val="000000"/>
                <w:sz w:val="20"/>
                <w:szCs w:val="20"/>
              </w:rPr>
            </w:pPr>
            <w:r w:rsidRPr="00452BE0">
              <w:rPr>
                <w:rFonts w:eastAsia="Times New Roman" w:cs="Arial"/>
                <w:color w:val="000000"/>
                <w:sz w:val="20"/>
                <w:szCs w:val="20"/>
              </w:rPr>
              <w:t>-</w:t>
            </w:r>
          </w:p>
        </w:tc>
        <w:tc>
          <w:tcPr>
            <w:tcW w:w="875" w:type="dxa"/>
            <w:tcBorders>
              <w:top w:val="nil"/>
              <w:left w:val="nil"/>
              <w:bottom w:val="single" w:sz="4" w:space="0" w:color="auto"/>
              <w:right w:val="single" w:sz="4" w:space="0" w:color="auto"/>
            </w:tcBorders>
            <w:shd w:val="clear" w:color="auto" w:fill="auto"/>
            <w:vAlign w:val="center"/>
            <w:hideMark/>
          </w:tcPr>
          <w:p w:rsidR="00C244F6" w:rsidRPr="00452BE0" w:rsidRDefault="00C244F6" w:rsidP="00B377ED">
            <w:pPr>
              <w:jc w:val="center"/>
              <w:rPr>
                <w:rFonts w:eastAsia="Times New Roman" w:cs="Arial"/>
                <w:color w:val="000000"/>
                <w:sz w:val="20"/>
                <w:szCs w:val="20"/>
              </w:rPr>
            </w:pPr>
            <w:r w:rsidRPr="00452BE0">
              <w:rPr>
                <w:rFonts w:eastAsia="Times New Roman" w:cs="Arial"/>
                <w:color w:val="000000"/>
                <w:sz w:val="20"/>
                <w:szCs w:val="20"/>
              </w:rPr>
              <w:t>-</w:t>
            </w:r>
          </w:p>
        </w:tc>
      </w:tr>
      <w:tr w:rsidR="00C244F6" w:rsidRPr="00AE4822" w:rsidTr="00B377ED">
        <w:trPr>
          <w:trHeight w:val="248"/>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244F6" w:rsidRPr="00452BE0" w:rsidRDefault="00C244F6" w:rsidP="00B377ED">
            <w:pPr>
              <w:jc w:val="both"/>
              <w:rPr>
                <w:rFonts w:eastAsia="Times New Roman" w:cs="Arial"/>
                <w:color w:val="000000"/>
                <w:sz w:val="20"/>
                <w:szCs w:val="20"/>
              </w:rPr>
            </w:pPr>
            <w:r w:rsidRPr="00452BE0">
              <w:rPr>
                <w:rFonts w:eastAsia="Times New Roman" w:cs="Arial"/>
                <w:color w:val="000000"/>
                <w:sz w:val="20"/>
                <w:szCs w:val="20"/>
              </w:rPr>
              <w:t>Add: UI payable</w:t>
            </w:r>
          </w:p>
        </w:tc>
        <w:tc>
          <w:tcPr>
            <w:tcW w:w="874" w:type="dxa"/>
            <w:tcBorders>
              <w:top w:val="nil"/>
              <w:left w:val="nil"/>
              <w:bottom w:val="single" w:sz="4" w:space="0" w:color="auto"/>
              <w:right w:val="single" w:sz="4" w:space="0" w:color="auto"/>
            </w:tcBorders>
            <w:shd w:val="clear" w:color="auto" w:fill="auto"/>
            <w:vAlign w:val="center"/>
          </w:tcPr>
          <w:p w:rsidR="00C244F6" w:rsidRPr="00452BE0" w:rsidRDefault="00C244F6" w:rsidP="00B377ED">
            <w:pPr>
              <w:ind w:left="-114" w:right="-43"/>
              <w:jc w:val="right"/>
              <w:rPr>
                <w:rFonts w:eastAsia="Times New Roman" w:cs="Arial"/>
                <w:color w:val="000000"/>
                <w:sz w:val="20"/>
                <w:szCs w:val="20"/>
              </w:rPr>
            </w:pPr>
            <w:r>
              <w:rPr>
                <w:rFonts w:eastAsia="Times New Roman" w:cs="Arial"/>
                <w:color w:val="000000"/>
                <w:sz w:val="20"/>
                <w:szCs w:val="20"/>
              </w:rPr>
              <w:t>102.49</w:t>
            </w:r>
          </w:p>
        </w:tc>
        <w:tc>
          <w:tcPr>
            <w:tcW w:w="875" w:type="dxa"/>
            <w:tcBorders>
              <w:top w:val="nil"/>
              <w:left w:val="nil"/>
              <w:bottom w:val="single" w:sz="4" w:space="0" w:color="auto"/>
              <w:right w:val="single" w:sz="4" w:space="0" w:color="auto"/>
            </w:tcBorders>
            <w:shd w:val="clear" w:color="auto" w:fill="auto"/>
            <w:vAlign w:val="center"/>
            <w:hideMark/>
          </w:tcPr>
          <w:p w:rsidR="00C244F6" w:rsidRPr="00452BE0" w:rsidRDefault="00C244F6" w:rsidP="00B377ED">
            <w:pPr>
              <w:ind w:left="-104" w:right="-43"/>
              <w:jc w:val="right"/>
              <w:rPr>
                <w:rFonts w:eastAsia="Times New Roman" w:cs="Arial"/>
                <w:color w:val="000000"/>
                <w:sz w:val="20"/>
                <w:szCs w:val="20"/>
              </w:rPr>
            </w:pPr>
            <w:r>
              <w:rPr>
                <w:rFonts w:eastAsia="Times New Roman" w:cs="Arial"/>
                <w:color w:val="000000"/>
                <w:sz w:val="20"/>
                <w:szCs w:val="20"/>
              </w:rPr>
              <w:t>0</w:t>
            </w:r>
          </w:p>
        </w:tc>
        <w:tc>
          <w:tcPr>
            <w:tcW w:w="874" w:type="dxa"/>
            <w:tcBorders>
              <w:top w:val="nil"/>
              <w:left w:val="nil"/>
              <w:bottom w:val="single" w:sz="4" w:space="0" w:color="auto"/>
              <w:right w:val="single" w:sz="4" w:space="0" w:color="auto"/>
            </w:tcBorders>
            <w:shd w:val="clear" w:color="auto" w:fill="auto"/>
            <w:vAlign w:val="center"/>
            <w:hideMark/>
          </w:tcPr>
          <w:p w:rsidR="00C244F6" w:rsidRPr="00452BE0" w:rsidRDefault="00C244F6" w:rsidP="00B377ED">
            <w:pPr>
              <w:ind w:left="-108" w:right="-43"/>
              <w:jc w:val="right"/>
              <w:rPr>
                <w:rFonts w:eastAsia="Times New Roman" w:cs="Arial"/>
                <w:color w:val="000000"/>
                <w:sz w:val="20"/>
                <w:szCs w:val="20"/>
              </w:rPr>
            </w:pPr>
            <w:r>
              <w:rPr>
                <w:rFonts w:eastAsia="Times New Roman" w:cs="Arial"/>
                <w:color w:val="000000"/>
                <w:sz w:val="20"/>
                <w:szCs w:val="20"/>
              </w:rPr>
              <w:t>0</w:t>
            </w:r>
          </w:p>
        </w:tc>
        <w:tc>
          <w:tcPr>
            <w:tcW w:w="875" w:type="dxa"/>
            <w:tcBorders>
              <w:top w:val="nil"/>
              <w:left w:val="nil"/>
              <w:bottom w:val="single" w:sz="4" w:space="0" w:color="auto"/>
              <w:right w:val="single" w:sz="4" w:space="0" w:color="auto"/>
            </w:tcBorders>
            <w:shd w:val="clear" w:color="auto" w:fill="auto"/>
            <w:vAlign w:val="center"/>
            <w:hideMark/>
          </w:tcPr>
          <w:p w:rsidR="00C244F6" w:rsidRPr="00452BE0" w:rsidRDefault="00C244F6" w:rsidP="00B377ED">
            <w:pPr>
              <w:ind w:left="-113" w:right="-45"/>
              <w:jc w:val="right"/>
              <w:rPr>
                <w:rFonts w:eastAsia="Times New Roman" w:cs="Arial"/>
                <w:color w:val="000000"/>
                <w:sz w:val="20"/>
                <w:szCs w:val="20"/>
              </w:rPr>
            </w:pPr>
            <w:r>
              <w:rPr>
                <w:rFonts w:eastAsia="Times New Roman" w:cs="Arial"/>
                <w:color w:val="000000"/>
                <w:sz w:val="20"/>
                <w:szCs w:val="20"/>
              </w:rPr>
              <w:t>0</w:t>
            </w:r>
          </w:p>
        </w:tc>
        <w:tc>
          <w:tcPr>
            <w:tcW w:w="1020" w:type="dxa"/>
            <w:tcBorders>
              <w:top w:val="single" w:sz="4" w:space="0" w:color="auto"/>
              <w:left w:val="nil"/>
              <w:bottom w:val="single" w:sz="4" w:space="0" w:color="auto"/>
              <w:right w:val="single" w:sz="4" w:space="0" w:color="auto"/>
            </w:tcBorders>
          </w:tcPr>
          <w:p w:rsidR="00C244F6" w:rsidRPr="00452BE0" w:rsidRDefault="00C244F6" w:rsidP="00B377ED">
            <w:pPr>
              <w:jc w:val="both"/>
              <w:rPr>
                <w:rFonts w:eastAsia="Times New Roman" w:cs="Arial"/>
                <w:color w:val="000000"/>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C244F6" w:rsidRPr="00452BE0" w:rsidRDefault="00C244F6" w:rsidP="00B377ED">
            <w:pPr>
              <w:jc w:val="center"/>
              <w:rPr>
                <w:rFonts w:eastAsia="Times New Roman" w:cs="Arial"/>
                <w:color w:val="000000"/>
                <w:sz w:val="20"/>
                <w:szCs w:val="20"/>
              </w:rPr>
            </w:pPr>
            <w:r w:rsidRPr="00452BE0">
              <w:rPr>
                <w:rFonts w:eastAsia="Times New Roman" w:cs="Arial"/>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C244F6" w:rsidRPr="00452BE0" w:rsidRDefault="00C244F6" w:rsidP="00B377ED">
            <w:pPr>
              <w:jc w:val="center"/>
              <w:rPr>
                <w:rFonts w:eastAsia="Times New Roman" w:cs="Arial"/>
                <w:color w:val="000000"/>
                <w:sz w:val="20"/>
                <w:szCs w:val="20"/>
              </w:rPr>
            </w:pPr>
            <w:r w:rsidRPr="00452BE0">
              <w:rPr>
                <w:rFonts w:eastAsia="Times New Roman" w:cs="Arial"/>
                <w:color w:val="000000"/>
                <w:sz w:val="20"/>
                <w:szCs w:val="20"/>
              </w:rPr>
              <w:t>-</w:t>
            </w:r>
          </w:p>
        </w:tc>
        <w:tc>
          <w:tcPr>
            <w:tcW w:w="875" w:type="dxa"/>
            <w:tcBorders>
              <w:top w:val="nil"/>
              <w:left w:val="nil"/>
              <w:bottom w:val="single" w:sz="4" w:space="0" w:color="auto"/>
              <w:right w:val="single" w:sz="4" w:space="0" w:color="auto"/>
            </w:tcBorders>
            <w:shd w:val="clear" w:color="auto" w:fill="auto"/>
            <w:vAlign w:val="center"/>
            <w:hideMark/>
          </w:tcPr>
          <w:p w:rsidR="00C244F6" w:rsidRPr="00452BE0" w:rsidRDefault="00C244F6" w:rsidP="00B377ED">
            <w:pPr>
              <w:jc w:val="center"/>
              <w:rPr>
                <w:rFonts w:eastAsia="Times New Roman" w:cs="Arial"/>
                <w:color w:val="000000"/>
                <w:sz w:val="20"/>
                <w:szCs w:val="20"/>
              </w:rPr>
            </w:pPr>
            <w:r w:rsidRPr="00452BE0">
              <w:rPr>
                <w:rFonts w:eastAsia="Times New Roman" w:cs="Arial"/>
                <w:color w:val="000000"/>
                <w:sz w:val="20"/>
                <w:szCs w:val="20"/>
              </w:rPr>
              <w:t>-</w:t>
            </w:r>
          </w:p>
        </w:tc>
      </w:tr>
      <w:tr w:rsidR="00C244F6" w:rsidRPr="00AE4822" w:rsidTr="00B377ED">
        <w:trPr>
          <w:trHeight w:val="248"/>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244F6" w:rsidRPr="00452BE0" w:rsidRDefault="00C244F6" w:rsidP="00B377ED">
            <w:pPr>
              <w:jc w:val="both"/>
              <w:rPr>
                <w:rFonts w:eastAsia="Times New Roman" w:cs="Arial"/>
                <w:color w:val="000000"/>
                <w:sz w:val="20"/>
                <w:szCs w:val="20"/>
              </w:rPr>
            </w:pPr>
            <w:r w:rsidRPr="00452BE0">
              <w:rPr>
                <w:rFonts w:eastAsia="Times New Roman" w:cs="Arial"/>
                <w:color w:val="000000"/>
                <w:sz w:val="20"/>
                <w:szCs w:val="20"/>
              </w:rPr>
              <w:t xml:space="preserve">Less:UI receivable </w:t>
            </w:r>
          </w:p>
        </w:tc>
        <w:tc>
          <w:tcPr>
            <w:tcW w:w="874" w:type="dxa"/>
            <w:tcBorders>
              <w:top w:val="nil"/>
              <w:left w:val="nil"/>
              <w:bottom w:val="single" w:sz="4" w:space="0" w:color="auto"/>
              <w:right w:val="single" w:sz="4" w:space="0" w:color="auto"/>
            </w:tcBorders>
            <w:shd w:val="clear" w:color="auto" w:fill="auto"/>
            <w:vAlign w:val="center"/>
          </w:tcPr>
          <w:p w:rsidR="00C244F6" w:rsidRPr="00452BE0" w:rsidRDefault="00C244F6" w:rsidP="00B377ED">
            <w:pPr>
              <w:ind w:left="-114" w:right="-43"/>
              <w:jc w:val="right"/>
              <w:rPr>
                <w:rFonts w:eastAsia="Times New Roman" w:cs="Arial"/>
                <w:color w:val="000000"/>
                <w:sz w:val="20"/>
                <w:szCs w:val="20"/>
              </w:rPr>
            </w:pPr>
            <w:r>
              <w:rPr>
                <w:rFonts w:eastAsia="Times New Roman" w:cs="Arial"/>
                <w:color w:val="000000"/>
                <w:sz w:val="20"/>
                <w:szCs w:val="20"/>
              </w:rPr>
              <w:t>0</w:t>
            </w:r>
          </w:p>
        </w:tc>
        <w:tc>
          <w:tcPr>
            <w:tcW w:w="875" w:type="dxa"/>
            <w:tcBorders>
              <w:top w:val="nil"/>
              <w:left w:val="nil"/>
              <w:bottom w:val="single" w:sz="4" w:space="0" w:color="auto"/>
              <w:right w:val="single" w:sz="4" w:space="0" w:color="auto"/>
            </w:tcBorders>
            <w:shd w:val="clear" w:color="auto" w:fill="auto"/>
            <w:vAlign w:val="center"/>
            <w:hideMark/>
          </w:tcPr>
          <w:p w:rsidR="00C244F6" w:rsidRPr="00452BE0" w:rsidRDefault="00C244F6" w:rsidP="00B377ED">
            <w:pPr>
              <w:ind w:left="-104" w:right="-43"/>
              <w:jc w:val="right"/>
              <w:rPr>
                <w:rFonts w:eastAsia="Times New Roman" w:cs="Arial"/>
                <w:color w:val="000000"/>
                <w:sz w:val="20"/>
                <w:szCs w:val="20"/>
              </w:rPr>
            </w:pPr>
            <w:r>
              <w:rPr>
                <w:rFonts w:eastAsia="Times New Roman" w:cs="Arial"/>
                <w:color w:val="000000"/>
                <w:sz w:val="20"/>
                <w:szCs w:val="20"/>
              </w:rPr>
              <w:t>7.50</w:t>
            </w:r>
          </w:p>
        </w:tc>
        <w:tc>
          <w:tcPr>
            <w:tcW w:w="874" w:type="dxa"/>
            <w:tcBorders>
              <w:top w:val="nil"/>
              <w:left w:val="nil"/>
              <w:bottom w:val="single" w:sz="4" w:space="0" w:color="auto"/>
              <w:right w:val="single" w:sz="4" w:space="0" w:color="auto"/>
            </w:tcBorders>
            <w:shd w:val="clear" w:color="auto" w:fill="auto"/>
            <w:vAlign w:val="center"/>
            <w:hideMark/>
          </w:tcPr>
          <w:p w:rsidR="00C244F6" w:rsidRPr="00452BE0" w:rsidRDefault="00C244F6" w:rsidP="00B377ED">
            <w:pPr>
              <w:ind w:left="-108" w:right="-43"/>
              <w:jc w:val="right"/>
              <w:rPr>
                <w:rFonts w:eastAsia="Times New Roman" w:cs="Arial"/>
                <w:color w:val="000000"/>
                <w:sz w:val="20"/>
                <w:szCs w:val="20"/>
              </w:rPr>
            </w:pPr>
            <w:r>
              <w:rPr>
                <w:rFonts w:eastAsia="Times New Roman" w:cs="Arial"/>
                <w:color w:val="000000"/>
                <w:sz w:val="20"/>
                <w:szCs w:val="20"/>
              </w:rPr>
              <w:t>60.45</w:t>
            </w:r>
          </w:p>
        </w:tc>
        <w:tc>
          <w:tcPr>
            <w:tcW w:w="875" w:type="dxa"/>
            <w:tcBorders>
              <w:top w:val="nil"/>
              <w:left w:val="nil"/>
              <w:bottom w:val="single" w:sz="4" w:space="0" w:color="auto"/>
              <w:right w:val="single" w:sz="4" w:space="0" w:color="auto"/>
            </w:tcBorders>
            <w:shd w:val="clear" w:color="auto" w:fill="auto"/>
            <w:vAlign w:val="center"/>
            <w:hideMark/>
          </w:tcPr>
          <w:p w:rsidR="00C244F6" w:rsidRPr="00452BE0" w:rsidRDefault="00C244F6" w:rsidP="00B377ED">
            <w:pPr>
              <w:ind w:left="-113" w:right="-45"/>
              <w:jc w:val="right"/>
              <w:rPr>
                <w:rFonts w:eastAsia="Times New Roman" w:cs="Arial"/>
                <w:color w:val="000000"/>
                <w:sz w:val="20"/>
                <w:szCs w:val="20"/>
              </w:rPr>
            </w:pPr>
            <w:r>
              <w:rPr>
                <w:rFonts w:eastAsia="Times New Roman" w:cs="Arial"/>
                <w:color w:val="000000"/>
                <w:sz w:val="20"/>
                <w:szCs w:val="20"/>
              </w:rPr>
              <w:t>0.76</w:t>
            </w:r>
          </w:p>
        </w:tc>
        <w:tc>
          <w:tcPr>
            <w:tcW w:w="1020" w:type="dxa"/>
            <w:tcBorders>
              <w:top w:val="single" w:sz="4" w:space="0" w:color="auto"/>
              <w:left w:val="nil"/>
              <w:bottom w:val="single" w:sz="4" w:space="0" w:color="auto"/>
              <w:right w:val="single" w:sz="4" w:space="0" w:color="auto"/>
            </w:tcBorders>
          </w:tcPr>
          <w:p w:rsidR="00C244F6" w:rsidRPr="00452BE0" w:rsidRDefault="00C244F6" w:rsidP="00B377ED">
            <w:pPr>
              <w:jc w:val="both"/>
              <w:rPr>
                <w:rFonts w:eastAsia="Times New Roman" w:cs="Arial"/>
                <w:color w:val="000000"/>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C244F6" w:rsidRPr="00452BE0" w:rsidRDefault="00C244F6" w:rsidP="00B377ED">
            <w:pPr>
              <w:jc w:val="center"/>
              <w:rPr>
                <w:rFonts w:eastAsia="Times New Roman" w:cs="Arial"/>
                <w:color w:val="000000"/>
                <w:sz w:val="20"/>
                <w:szCs w:val="20"/>
              </w:rPr>
            </w:pPr>
            <w:r w:rsidRPr="00452BE0">
              <w:rPr>
                <w:rFonts w:eastAsia="Times New Roman" w:cs="Arial"/>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C244F6" w:rsidRPr="00452BE0" w:rsidRDefault="00C244F6" w:rsidP="00B377ED">
            <w:pPr>
              <w:jc w:val="center"/>
              <w:rPr>
                <w:rFonts w:eastAsia="Times New Roman" w:cs="Arial"/>
                <w:color w:val="000000"/>
                <w:sz w:val="20"/>
                <w:szCs w:val="20"/>
              </w:rPr>
            </w:pPr>
            <w:r w:rsidRPr="00452BE0">
              <w:rPr>
                <w:rFonts w:eastAsia="Times New Roman" w:cs="Arial"/>
                <w:color w:val="000000"/>
                <w:sz w:val="20"/>
                <w:szCs w:val="20"/>
              </w:rPr>
              <w:t>-</w:t>
            </w:r>
          </w:p>
        </w:tc>
        <w:tc>
          <w:tcPr>
            <w:tcW w:w="875" w:type="dxa"/>
            <w:tcBorders>
              <w:top w:val="nil"/>
              <w:left w:val="nil"/>
              <w:bottom w:val="single" w:sz="4" w:space="0" w:color="auto"/>
              <w:right w:val="single" w:sz="4" w:space="0" w:color="auto"/>
            </w:tcBorders>
            <w:shd w:val="clear" w:color="auto" w:fill="auto"/>
            <w:vAlign w:val="center"/>
            <w:hideMark/>
          </w:tcPr>
          <w:p w:rsidR="00C244F6" w:rsidRPr="00452BE0" w:rsidRDefault="00C244F6" w:rsidP="00B377ED">
            <w:pPr>
              <w:jc w:val="center"/>
              <w:rPr>
                <w:rFonts w:eastAsia="Times New Roman" w:cs="Arial"/>
                <w:color w:val="000000"/>
                <w:sz w:val="20"/>
                <w:szCs w:val="20"/>
              </w:rPr>
            </w:pPr>
            <w:r w:rsidRPr="00452BE0">
              <w:rPr>
                <w:rFonts w:eastAsia="Times New Roman" w:cs="Arial"/>
                <w:color w:val="000000"/>
                <w:sz w:val="20"/>
                <w:szCs w:val="20"/>
              </w:rPr>
              <w:t>-</w:t>
            </w:r>
          </w:p>
        </w:tc>
      </w:tr>
      <w:tr w:rsidR="00C244F6" w:rsidRPr="00AE4822" w:rsidTr="00B377ED">
        <w:trPr>
          <w:trHeight w:val="498"/>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244F6" w:rsidRPr="00572244" w:rsidRDefault="00C244F6" w:rsidP="00B377ED">
            <w:pPr>
              <w:jc w:val="both"/>
              <w:rPr>
                <w:rFonts w:eastAsia="Times New Roman" w:cs="Arial"/>
                <w:color w:val="000000"/>
                <w:sz w:val="20"/>
                <w:szCs w:val="20"/>
              </w:rPr>
            </w:pPr>
            <w:r w:rsidRPr="00572244">
              <w:rPr>
                <w:rFonts w:eastAsia="Times New Roman" w:cs="Arial"/>
                <w:color w:val="000000"/>
                <w:sz w:val="20"/>
                <w:szCs w:val="20"/>
              </w:rPr>
              <w:t>Add: Local Purchase by DISCOMs</w:t>
            </w:r>
            <w:r>
              <w:rPr>
                <w:rFonts w:eastAsia="Times New Roman" w:cs="Arial"/>
                <w:color w:val="000000"/>
                <w:sz w:val="20"/>
                <w:szCs w:val="20"/>
              </w:rPr>
              <w:t xml:space="preserve"> (Solar &amp; Wind)</w:t>
            </w:r>
          </w:p>
        </w:tc>
        <w:tc>
          <w:tcPr>
            <w:tcW w:w="874" w:type="dxa"/>
            <w:tcBorders>
              <w:top w:val="nil"/>
              <w:left w:val="nil"/>
              <w:bottom w:val="single" w:sz="4" w:space="0" w:color="auto"/>
              <w:right w:val="single" w:sz="4" w:space="0" w:color="auto"/>
            </w:tcBorders>
            <w:shd w:val="clear" w:color="auto" w:fill="auto"/>
            <w:noWrap/>
            <w:vAlign w:val="center"/>
          </w:tcPr>
          <w:p w:rsidR="00C244F6" w:rsidRPr="00572244" w:rsidRDefault="00C244F6" w:rsidP="00B377ED">
            <w:pPr>
              <w:ind w:left="-114" w:right="-43"/>
              <w:jc w:val="right"/>
              <w:rPr>
                <w:rFonts w:eastAsia="Times New Roman" w:cs="Arial"/>
                <w:sz w:val="20"/>
                <w:szCs w:val="20"/>
              </w:rPr>
            </w:pPr>
            <w:r>
              <w:rPr>
                <w:rFonts w:eastAsia="Times New Roman" w:cs="Arial"/>
                <w:sz w:val="20"/>
                <w:szCs w:val="20"/>
              </w:rPr>
              <w:t>22.68</w:t>
            </w:r>
          </w:p>
        </w:tc>
        <w:tc>
          <w:tcPr>
            <w:tcW w:w="875" w:type="dxa"/>
            <w:tcBorders>
              <w:top w:val="nil"/>
              <w:left w:val="nil"/>
              <w:bottom w:val="single" w:sz="4" w:space="0" w:color="auto"/>
              <w:right w:val="single" w:sz="4" w:space="0" w:color="auto"/>
            </w:tcBorders>
            <w:shd w:val="clear" w:color="auto" w:fill="auto"/>
            <w:noWrap/>
            <w:vAlign w:val="center"/>
            <w:hideMark/>
          </w:tcPr>
          <w:p w:rsidR="00C244F6" w:rsidRPr="00572244" w:rsidRDefault="00C244F6" w:rsidP="00B377ED">
            <w:pPr>
              <w:ind w:left="-104" w:right="-43"/>
              <w:jc w:val="right"/>
              <w:rPr>
                <w:rFonts w:eastAsia="Times New Roman" w:cs="Arial"/>
                <w:sz w:val="20"/>
                <w:szCs w:val="20"/>
              </w:rPr>
            </w:pPr>
            <w:r>
              <w:rPr>
                <w:rFonts w:eastAsia="Times New Roman" w:cs="Arial"/>
                <w:sz w:val="20"/>
                <w:szCs w:val="20"/>
              </w:rPr>
              <w:t>17.44</w:t>
            </w:r>
          </w:p>
        </w:tc>
        <w:tc>
          <w:tcPr>
            <w:tcW w:w="874" w:type="dxa"/>
            <w:tcBorders>
              <w:top w:val="nil"/>
              <w:left w:val="nil"/>
              <w:bottom w:val="single" w:sz="4" w:space="0" w:color="auto"/>
              <w:right w:val="single" w:sz="4" w:space="0" w:color="auto"/>
            </w:tcBorders>
            <w:shd w:val="clear" w:color="auto" w:fill="auto"/>
            <w:noWrap/>
            <w:vAlign w:val="center"/>
            <w:hideMark/>
          </w:tcPr>
          <w:p w:rsidR="00C244F6" w:rsidRPr="00572244" w:rsidRDefault="00C244F6" w:rsidP="00B377ED">
            <w:pPr>
              <w:ind w:right="-43"/>
              <w:jc w:val="right"/>
              <w:rPr>
                <w:rFonts w:eastAsia="Times New Roman" w:cs="Arial"/>
                <w:sz w:val="20"/>
                <w:szCs w:val="20"/>
              </w:rPr>
            </w:pPr>
            <w:r>
              <w:rPr>
                <w:rFonts w:eastAsia="Times New Roman" w:cs="Arial"/>
                <w:sz w:val="20"/>
                <w:szCs w:val="20"/>
              </w:rPr>
              <w:t>48.43</w:t>
            </w:r>
          </w:p>
        </w:tc>
        <w:tc>
          <w:tcPr>
            <w:tcW w:w="875" w:type="dxa"/>
            <w:tcBorders>
              <w:top w:val="nil"/>
              <w:left w:val="nil"/>
              <w:bottom w:val="single" w:sz="4" w:space="0" w:color="auto"/>
              <w:right w:val="single" w:sz="4" w:space="0" w:color="auto"/>
            </w:tcBorders>
            <w:shd w:val="clear" w:color="auto" w:fill="auto"/>
            <w:noWrap/>
            <w:vAlign w:val="center"/>
            <w:hideMark/>
          </w:tcPr>
          <w:p w:rsidR="00C244F6" w:rsidRPr="00572244" w:rsidRDefault="00C244F6" w:rsidP="00B377ED">
            <w:pPr>
              <w:ind w:left="-113" w:right="-45"/>
              <w:jc w:val="right"/>
              <w:rPr>
                <w:rFonts w:eastAsia="Times New Roman" w:cs="Arial"/>
                <w:sz w:val="20"/>
                <w:szCs w:val="20"/>
              </w:rPr>
            </w:pPr>
            <w:r>
              <w:rPr>
                <w:rFonts w:eastAsia="Times New Roman" w:cs="Arial"/>
                <w:sz w:val="20"/>
                <w:szCs w:val="20"/>
              </w:rPr>
              <w:t>35.14</w:t>
            </w:r>
          </w:p>
        </w:tc>
        <w:tc>
          <w:tcPr>
            <w:tcW w:w="1020" w:type="dxa"/>
            <w:tcBorders>
              <w:top w:val="single" w:sz="4" w:space="0" w:color="auto"/>
              <w:left w:val="nil"/>
              <w:bottom w:val="single" w:sz="4" w:space="0" w:color="auto"/>
              <w:right w:val="single" w:sz="4" w:space="0" w:color="auto"/>
            </w:tcBorders>
          </w:tcPr>
          <w:p w:rsidR="00C244F6" w:rsidRPr="00572244" w:rsidRDefault="00C244F6" w:rsidP="00B377ED">
            <w:pPr>
              <w:rPr>
                <w:rFonts w:eastAsia="Times New Roman" w:cs="Arial"/>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44F6" w:rsidRPr="00572244" w:rsidRDefault="00C244F6" w:rsidP="00B377ED">
            <w:pPr>
              <w:jc w:val="center"/>
              <w:rPr>
                <w:rFonts w:eastAsia="Times New Roman" w:cs="Arial"/>
                <w:sz w:val="20"/>
                <w:szCs w:val="20"/>
              </w:rPr>
            </w:pPr>
            <w:r w:rsidRPr="00572244">
              <w:rPr>
                <w:rFonts w:eastAsia="Times New Roman" w:cs="Arial"/>
                <w:sz w:val="20"/>
                <w:szCs w:val="20"/>
              </w:rPr>
              <w:t>-</w:t>
            </w:r>
          </w:p>
        </w:tc>
        <w:tc>
          <w:tcPr>
            <w:tcW w:w="1166" w:type="dxa"/>
            <w:tcBorders>
              <w:top w:val="nil"/>
              <w:left w:val="nil"/>
              <w:bottom w:val="single" w:sz="4" w:space="0" w:color="auto"/>
              <w:right w:val="single" w:sz="4" w:space="0" w:color="auto"/>
            </w:tcBorders>
            <w:shd w:val="clear" w:color="auto" w:fill="auto"/>
            <w:noWrap/>
            <w:vAlign w:val="bottom"/>
            <w:hideMark/>
          </w:tcPr>
          <w:p w:rsidR="00C244F6" w:rsidRPr="00572244" w:rsidRDefault="00C244F6" w:rsidP="00B377ED">
            <w:pPr>
              <w:jc w:val="center"/>
              <w:rPr>
                <w:rFonts w:eastAsia="Times New Roman" w:cs="Arial"/>
                <w:sz w:val="20"/>
                <w:szCs w:val="20"/>
              </w:rPr>
            </w:pPr>
            <w:r w:rsidRPr="00572244">
              <w:rPr>
                <w:rFonts w:eastAsia="Times New Roman" w:cs="Arial"/>
                <w:sz w:val="20"/>
                <w:szCs w:val="20"/>
              </w:rPr>
              <w:t>-</w:t>
            </w:r>
          </w:p>
        </w:tc>
        <w:tc>
          <w:tcPr>
            <w:tcW w:w="875" w:type="dxa"/>
            <w:tcBorders>
              <w:top w:val="nil"/>
              <w:left w:val="nil"/>
              <w:bottom w:val="single" w:sz="4" w:space="0" w:color="auto"/>
              <w:right w:val="single" w:sz="4" w:space="0" w:color="auto"/>
            </w:tcBorders>
            <w:shd w:val="clear" w:color="auto" w:fill="auto"/>
            <w:noWrap/>
            <w:vAlign w:val="bottom"/>
            <w:hideMark/>
          </w:tcPr>
          <w:p w:rsidR="00C244F6" w:rsidRPr="00572244" w:rsidRDefault="00C244F6" w:rsidP="00B377ED">
            <w:pPr>
              <w:jc w:val="center"/>
              <w:rPr>
                <w:rFonts w:eastAsia="Times New Roman" w:cs="Arial"/>
                <w:sz w:val="20"/>
                <w:szCs w:val="20"/>
              </w:rPr>
            </w:pPr>
            <w:r w:rsidRPr="00572244">
              <w:rPr>
                <w:rFonts w:eastAsia="Times New Roman" w:cs="Arial"/>
                <w:sz w:val="20"/>
                <w:szCs w:val="20"/>
              </w:rPr>
              <w:t>-</w:t>
            </w:r>
          </w:p>
        </w:tc>
      </w:tr>
      <w:tr w:rsidR="00C244F6" w:rsidRPr="00AE4822" w:rsidTr="00B377ED">
        <w:trPr>
          <w:trHeight w:val="498"/>
        </w:trPr>
        <w:tc>
          <w:tcPr>
            <w:tcW w:w="1895" w:type="dxa"/>
            <w:tcBorders>
              <w:top w:val="nil"/>
              <w:left w:val="single" w:sz="4" w:space="0" w:color="auto"/>
              <w:bottom w:val="single" w:sz="4" w:space="0" w:color="auto"/>
              <w:right w:val="single" w:sz="4" w:space="0" w:color="auto"/>
            </w:tcBorders>
            <w:shd w:val="clear" w:color="auto" w:fill="auto"/>
            <w:vAlign w:val="center"/>
          </w:tcPr>
          <w:p w:rsidR="00C244F6" w:rsidRPr="00AE4822" w:rsidRDefault="00C244F6" w:rsidP="00B377ED">
            <w:pPr>
              <w:jc w:val="both"/>
              <w:rPr>
                <w:rFonts w:eastAsia="Times New Roman" w:cs="Arial"/>
                <w:color w:val="000000"/>
                <w:sz w:val="20"/>
                <w:szCs w:val="20"/>
              </w:rPr>
            </w:pPr>
            <w:r>
              <w:rPr>
                <w:rFonts w:eastAsia="Times New Roman" w:cs="Arial"/>
                <w:color w:val="000000"/>
                <w:sz w:val="20"/>
                <w:szCs w:val="20"/>
              </w:rPr>
              <w:t>SLDC Charges</w:t>
            </w:r>
          </w:p>
        </w:tc>
        <w:tc>
          <w:tcPr>
            <w:tcW w:w="874" w:type="dxa"/>
            <w:tcBorders>
              <w:top w:val="nil"/>
              <w:left w:val="nil"/>
              <w:bottom w:val="single" w:sz="4" w:space="0" w:color="auto"/>
              <w:right w:val="single" w:sz="4" w:space="0" w:color="auto"/>
            </w:tcBorders>
            <w:shd w:val="clear" w:color="auto" w:fill="auto"/>
            <w:noWrap/>
            <w:vAlign w:val="center"/>
          </w:tcPr>
          <w:p w:rsidR="00C244F6" w:rsidRPr="00AE4822" w:rsidRDefault="00C244F6" w:rsidP="00B377ED">
            <w:pPr>
              <w:ind w:left="-114" w:right="-43"/>
              <w:jc w:val="right"/>
              <w:rPr>
                <w:rFonts w:eastAsia="Times New Roman" w:cs="Arial"/>
                <w:sz w:val="20"/>
                <w:szCs w:val="20"/>
              </w:rPr>
            </w:pPr>
            <w:r>
              <w:rPr>
                <w:rFonts w:eastAsia="Times New Roman" w:cs="Arial"/>
                <w:sz w:val="20"/>
                <w:szCs w:val="20"/>
              </w:rPr>
              <w:t>1.23</w:t>
            </w:r>
          </w:p>
        </w:tc>
        <w:tc>
          <w:tcPr>
            <w:tcW w:w="875" w:type="dxa"/>
            <w:tcBorders>
              <w:top w:val="nil"/>
              <w:left w:val="nil"/>
              <w:bottom w:val="single" w:sz="4" w:space="0" w:color="auto"/>
              <w:right w:val="single" w:sz="4" w:space="0" w:color="auto"/>
            </w:tcBorders>
            <w:shd w:val="clear" w:color="auto" w:fill="auto"/>
            <w:noWrap/>
            <w:vAlign w:val="center"/>
          </w:tcPr>
          <w:p w:rsidR="00C244F6" w:rsidRPr="00AE4822" w:rsidRDefault="00C244F6" w:rsidP="00B377ED">
            <w:pPr>
              <w:ind w:left="-104" w:right="-43"/>
              <w:jc w:val="right"/>
              <w:rPr>
                <w:rFonts w:eastAsia="Times New Roman" w:cs="Arial"/>
                <w:sz w:val="20"/>
                <w:szCs w:val="20"/>
              </w:rPr>
            </w:pPr>
            <w:r>
              <w:rPr>
                <w:rFonts w:eastAsia="Times New Roman" w:cs="Arial"/>
                <w:sz w:val="20"/>
                <w:szCs w:val="20"/>
              </w:rPr>
              <w:t>0.52</w:t>
            </w:r>
          </w:p>
        </w:tc>
        <w:tc>
          <w:tcPr>
            <w:tcW w:w="874" w:type="dxa"/>
            <w:tcBorders>
              <w:top w:val="nil"/>
              <w:left w:val="nil"/>
              <w:bottom w:val="single" w:sz="4" w:space="0" w:color="auto"/>
              <w:right w:val="single" w:sz="4" w:space="0" w:color="auto"/>
            </w:tcBorders>
            <w:shd w:val="clear" w:color="auto" w:fill="auto"/>
            <w:noWrap/>
            <w:vAlign w:val="bottom"/>
          </w:tcPr>
          <w:p w:rsidR="00C244F6" w:rsidRPr="00AE4822" w:rsidRDefault="00C244F6" w:rsidP="00B377ED">
            <w:pPr>
              <w:ind w:left="-108" w:right="-43"/>
              <w:jc w:val="right"/>
              <w:rPr>
                <w:rFonts w:eastAsia="Times New Roman" w:cs="Arial"/>
                <w:sz w:val="20"/>
                <w:szCs w:val="20"/>
              </w:rPr>
            </w:pPr>
            <w:r>
              <w:rPr>
                <w:rFonts w:eastAsia="Times New Roman" w:cs="Arial"/>
                <w:sz w:val="20"/>
                <w:szCs w:val="20"/>
              </w:rPr>
              <w:t>1.37</w:t>
            </w:r>
          </w:p>
        </w:tc>
        <w:tc>
          <w:tcPr>
            <w:tcW w:w="875" w:type="dxa"/>
            <w:tcBorders>
              <w:top w:val="nil"/>
              <w:left w:val="nil"/>
              <w:bottom w:val="single" w:sz="4" w:space="0" w:color="auto"/>
              <w:right w:val="single" w:sz="4" w:space="0" w:color="auto"/>
            </w:tcBorders>
            <w:shd w:val="clear" w:color="auto" w:fill="auto"/>
            <w:noWrap/>
            <w:vAlign w:val="center"/>
          </w:tcPr>
          <w:p w:rsidR="00C244F6" w:rsidRPr="00AE4822" w:rsidRDefault="00C244F6" w:rsidP="00B377ED">
            <w:pPr>
              <w:ind w:left="-113" w:right="-45"/>
              <w:jc w:val="right"/>
              <w:rPr>
                <w:rFonts w:eastAsia="Times New Roman" w:cs="Arial"/>
                <w:sz w:val="20"/>
                <w:szCs w:val="20"/>
              </w:rPr>
            </w:pPr>
            <w:r>
              <w:rPr>
                <w:rFonts w:eastAsia="Times New Roman" w:cs="Arial"/>
                <w:sz w:val="20"/>
                <w:szCs w:val="20"/>
              </w:rPr>
              <w:t>0.99</w:t>
            </w:r>
          </w:p>
        </w:tc>
        <w:tc>
          <w:tcPr>
            <w:tcW w:w="1020" w:type="dxa"/>
            <w:tcBorders>
              <w:top w:val="single" w:sz="4" w:space="0" w:color="auto"/>
              <w:left w:val="nil"/>
              <w:bottom w:val="single" w:sz="4" w:space="0" w:color="auto"/>
              <w:right w:val="single" w:sz="4" w:space="0" w:color="auto"/>
            </w:tcBorders>
          </w:tcPr>
          <w:p w:rsidR="00C244F6" w:rsidRPr="00AE4822" w:rsidRDefault="00C244F6" w:rsidP="00B377ED">
            <w:pPr>
              <w:rPr>
                <w:rFonts w:eastAsia="Times New Roman" w:cs="Arial"/>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44F6" w:rsidRPr="00AE4822" w:rsidRDefault="00C244F6" w:rsidP="00B377ED">
            <w:pPr>
              <w:jc w:val="center"/>
              <w:rPr>
                <w:rFonts w:eastAsia="Times New Roman" w:cs="Arial"/>
                <w:sz w:val="20"/>
                <w:szCs w:val="20"/>
              </w:rPr>
            </w:pPr>
          </w:p>
        </w:tc>
        <w:tc>
          <w:tcPr>
            <w:tcW w:w="1166" w:type="dxa"/>
            <w:tcBorders>
              <w:top w:val="nil"/>
              <w:left w:val="nil"/>
              <w:bottom w:val="single" w:sz="4" w:space="0" w:color="auto"/>
              <w:right w:val="single" w:sz="4" w:space="0" w:color="auto"/>
            </w:tcBorders>
            <w:shd w:val="clear" w:color="auto" w:fill="auto"/>
            <w:noWrap/>
            <w:vAlign w:val="bottom"/>
          </w:tcPr>
          <w:p w:rsidR="00C244F6" w:rsidRPr="00AE4822" w:rsidRDefault="00C244F6" w:rsidP="00B377ED">
            <w:pPr>
              <w:jc w:val="center"/>
              <w:rPr>
                <w:rFonts w:eastAsia="Times New Roman" w:cs="Arial"/>
                <w:sz w:val="20"/>
                <w:szCs w:val="20"/>
              </w:rPr>
            </w:pPr>
          </w:p>
        </w:tc>
        <w:tc>
          <w:tcPr>
            <w:tcW w:w="875" w:type="dxa"/>
            <w:tcBorders>
              <w:top w:val="nil"/>
              <w:left w:val="nil"/>
              <w:bottom w:val="single" w:sz="4" w:space="0" w:color="auto"/>
              <w:right w:val="single" w:sz="4" w:space="0" w:color="auto"/>
            </w:tcBorders>
            <w:shd w:val="clear" w:color="auto" w:fill="auto"/>
            <w:noWrap/>
            <w:vAlign w:val="bottom"/>
          </w:tcPr>
          <w:p w:rsidR="00C244F6" w:rsidRPr="00AE4822" w:rsidRDefault="00C244F6" w:rsidP="00B377ED">
            <w:pPr>
              <w:jc w:val="center"/>
              <w:rPr>
                <w:rFonts w:eastAsia="Times New Roman" w:cs="Arial"/>
                <w:sz w:val="20"/>
                <w:szCs w:val="20"/>
              </w:rPr>
            </w:pPr>
          </w:p>
        </w:tc>
      </w:tr>
      <w:tr w:rsidR="00C244F6" w:rsidRPr="00AE4822" w:rsidTr="00B377ED">
        <w:trPr>
          <w:trHeight w:val="258"/>
        </w:trPr>
        <w:tc>
          <w:tcPr>
            <w:tcW w:w="1895" w:type="dxa"/>
            <w:tcBorders>
              <w:top w:val="nil"/>
              <w:left w:val="single" w:sz="4" w:space="0" w:color="auto"/>
              <w:bottom w:val="single" w:sz="4" w:space="0" w:color="auto"/>
              <w:right w:val="single" w:sz="4" w:space="0" w:color="auto"/>
            </w:tcBorders>
            <w:shd w:val="clear" w:color="auto" w:fill="auto"/>
            <w:vAlign w:val="center"/>
            <w:hideMark/>
          </w:tcPr>
          <w:p w:rsidR="00C244F6" w:rsidRPr="00452BE0" w:rsidRDefault="00C244F6" w:rsidP="00B377ED">
            <w:pPr>
              <w:jc w:val="both"/>
              <w:rPr>
                <w:rFonts w:eastAsia="Times New Roman" w:cs="Arial"/>
                <w:b/>
                <w:bCs/>
                <w:color w:val="000000"/>
                <w:sz w:val="20"/>
                <w:szCs w:val="20"/>
              </w:rPr>
            </w:pPr>
            <w:r w:rsidRPr="00452BE0">
              <w:rPr>
                <w:rFonts w:eastAsia="Times New Roman" w:cs="Arial"/>
                <w:b/>
                <w:bCs/>
                <w:color w:val="000000"/>
                <w:sz w:val="20"/>
                <w:szCs w:val="20"/>
              </w:rPr>
              <w:t>Total</w:t>
            </w:r>
          </w:p>
        </w:tc>
        <w:tc>
          <w:tcPr>
            <w:tcW w:w="874" w:type="dxa"/>
            <w:tcBorders>
              <w:top w:val="nil"/>
              <w:left w:val="nil"/>
              <w:bottom w:val="single" w:sz="4" w:space="0" w:color="auto"/>
              <w:right w:val="single" w:sz="4" w:space="0" w:color="auto"/>
            </w:tcBorders>
            <w:shd w:val="clear" w:color="auto" w:fill="auto"/>
            <w:noWrap/>
            <w:vAlign w:val="center"/>
          </w:tcPr>
          <w:p w:rsidR="00C244F6" w:rsidRPr="00452BE0" w:rsidRDefault="00C244F6" w:rsidP="00B377ED">
            <w:pPr>
              <w:ind w:left="-114" w:right="-105"/>
              <w:jc w:val="center"/>
              <w:rPr>
                <w:rFonts w:eastAsia="Times New Roman" w:cs="Arial"/>
                <w:b/>
                <w:bCs/>
                <w:sz w:val="20"/>
                <w:szCs w:val="20"/>
              </w:rPr>
            </w:pPr>
            <w:r>
              <w:rPr>
                <w:rFonts w:eastAsia="Times New Roman" w:cs="Arial"/>
                <w:b/>
                <w:bCs/>
                <w:sz w:val="20"/>
                <w:szCs w:val="20"/>
              </w:rPr>
              <w:t>12128.09</w:t>
            </w:r>
          </w:p>
        </w:tc>
        <w:tc>
          <w:tcPr>
            <w:tcW w:w="875" w:type="dxa"/>
            <w:tcBorders>
              <w:top w:val="nil"/>
              <w:left w:val="nil"/>
              <w:bottom w:val="single" w:sz="4" w:space="0" w:color="auto"/>
              <w:right w:val="single" w:sz="4" w:space="0" w:color="auto"/>
            </w:tcBorders>
            <w:shd w:val="clear" w:color="auto" w:fill="auto"/>
            <w:noWrap/>
            <w:vAlign w:val="center"/>
            <w:hideMark/>
          </w:tcPr>
          <w:p w:rsidR="00C244F6" w:rsidRPr="00452BE0" w:rsidRDefault="00C244F6" w:rsidP="00B377ED">
            <w:pPr>
              <w:ind w:left="-104" w:right="-101"/>
              <w:jc w:val="center"/>
              <w:rPr>
                <w:rFonts w:eastAsia="Times New Roman" w:cs="Arial"/>
                <w:b/>
                <w:bCs/>
                <w:sz w:val="20"/>
                <w:szCs w:val="20"/>
              </w:rPr>
            </w:pPr>
            <w:r>
              <w:rPr>
                <w:rFonts w:eastAsia="Times New Roman" w:cs="Arial"/>
                <w:b/>
                <w:bCs/>
                <w:sz w:val="20"/>
                <w:szCs w:val="20"/>
              </w:rPr>
              <w:t>5350.66</w:t>
            </w:r>
          </w:p>
        </w:tc>
        <w:tc>
          <w:tcPr>
            <w:tcW w:w="874" w:type="dxa"/>
            <w:tcBorders>
              <w:top w:val="nil"/>
              <w:left w:val="nil"/>
              <w:bottom w:val="single" w:sz="4" w:space="0" w:color="auto"/>
              <w:right w:val="single" w:sz="4" w:space="0" w:color="auto"/>
            </w:tcBorders>
            <w:shd w:val="clear" w:color="auto" w:fill="auto"/>
            <w:noWrap/>
            <w:vAlign w:val="bottom"/>
            <w:hideMark/>
          </w:tcPr>
          <w:p w:rsidR="00C244F6" w:rsidRPr="00452BE0" w:rsidRDefault="00C244F6" w:rsidP="00B377ED">
            <w:pPr>
              <w:ind w:left="-108" w:right="-111"/>
              <w:jc w:val="center"/>
              <w:rPr>
                <w:rFonts w:eastAsia="Times New Roman" w:cs="Arial"/>
                <w:b/>
                <w:bCs/>
                <w:sz w:val="20"/>
                <w:szCs w:val="20"/>
              </w:rPr>
            </w:pPr>
            <w:r>
              <w:rPr>
                <w:rFonts w:eastAsia="Times New Roman" w:cs="Arial"/>
                <w:b/>
                <w:bCs/>
                <w:sz w:val="20"/>
                <w:szCs w:val="20"/>
              </w:rPr>
              <w:t>15406.20</w:t>
            </w:r>
          </w:p>
        </w:tc>
        <w:tc>
          <w:tcPr>
            <w:tcW w:w="875" w:type="dxa"/>
            <w:tcBorders>
              <w:top w:val="nil"/>
              <w:left w:val="nil"/>
              <w:bottom w:val="single" w:sz="4" w:space="0" w:color="auto"/>
              <w:right w:val="single" w:sz="4" w:space="0" w:color="auto"/>
            </w:tcBorders>
            <w:shd w:val="clear" w:color="auto" w:fill="auto"/>
            <w:noWrap/>
            <w:vAlign w:val="bottom"/>
            <w:hideMark/>
          </w:tcPr>
          <w:p w:rsidR="00C244F6" w:rsidRPr="00452BE0" w:rsidRDefault="00C244F6" w:rsidP="00B377ED">
            <w:pPr>
              <w:ind w:left="-113" w:right="-102"/>
              <w:jc w:val="right"/>
              <w:rPr>
                <w:rFonts w:eastAsia="Times New Roman" w:cs="Arial"/>
                <w:b/>
                <w:bCs/>
                <w:sz w:val="20"/>
                <w:szCs w:val="20"/>
              </w:rPr>
            </w:pPr>
            <w:r>
              <w:rPr>
                <w:rFonts w:eastAsia="Times New Roman" w:cs="Arial"/>
                <w:b/>
                <w:bCs/>
                <w:sz w:val="20"/>
                <w:szCs w:val="20"/>
              </w:rPr>
              <w:t>11113.87</w:t>
            </w:r>
          </w:p>
        </w:tc>
        <w:tc>
          <w:tcPr>
            <w:tcW w:w="1020" w:type="dxa"/>
            <w:tcBorders>
              <w:top w:val="single" w:sz="4" w:space="0" w:color="auto"/>
              <w:left w:val="nil"/>
              <w:bottom w:val="single" w:sz="4" w:space="0" w:color="auto"/>
              <w:right w:val="single" w:sz="4" w:space="0" w:color="auto"/>
            </w:tcBorders>
          </w:tcPr>
          <w:p w:rsidR="00C244F6" w:rsidRPr="00452BE0" w:rsidRDefault="00C244F6" w:rsidP="00B377ED">
            <w:pPr>
              <w:rPr>
                <w:rFonts w:eastAsia="Times New Roman" w:cs="Arial"/>
                <w:b/>
                <w:bCs/>
                <w:sz w:val="20"/>
                <w:szCs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44F6" w:rsidRPr="00452BE0" w:rsidRDefault="00C244F6" w:rsidP="00B377ED">
            <w:pPr>
              <w:jc w:val="center"/>
              <w:rPr>
                <w:rFonts w:eastAsia="Times New Roman" w:cs="Arial"/>
                <w:sz w:val="20"/>
                <w:szCs w:val="20"/>
              </w:rPr>
            </w:pPr>
            <w:r w:rsidRPr="00452BE0">
              <w:rPr>
                <w:rFonts w:eastAsia="Times New Roman" w:cs="Arial"/>
                <w:sz w:val="20"/>
                <w:szCs w:val="20"/>
              </w:rPr>
              <w:t>-</w:t>
            </w:r>
          </w:p>
        </w:tc>
        <w:tc>
          <w:tcPr>
            <w:tcW w:w="1166" w:type="dxa"/>
            <w:tcBorders>
              <w:top w:val="nil"/>
              <w:left w:val="nil"/>
              <w:bottom w:val="single" w:sz="4" w:space="0" w:color="auto"/>
              <w:right w:val="single" w:sz="4" w:space="0" w:color="auto"/>
            </w:tcBorders>
            <w:shd w:val="clear" w:color="auto" w:fill="auto"/>
            <w:noWrap/>
            <w:vAlign w:val="bottom"/>
            <w:hideMark/>
          </w:tcPr>
          <w:p w:rsidR="00C244F6" w:rsidRPr="00452BE0" w:rsidRDefault="00C244F6" w:rsidP="00B377ED">
            <w:pPr>
              <w:jc w:val="center"/>
              <w:rPr>
                <w:rFonts w:eastAsia="Times New Roman" w:cs="Arial"/>
                <w:sz w:val="20"/>
                <w:szCs w:val="20"/>
              </w:rPr>
            </w:pPr>
            <w:r w:rsidRPr="00452BE0">
              <w:rPr>
                <w:rFonts w:eastAsia="Times New Roman" w:cs="Arial"/>
                <w:sz w:val="20"/>
                <w:szCs w:val="20"/>
              </w:rPr>
              <w:t>-</w:t>
            </w:r>
          </w:p>
        </w:tc>
        <w:tc>
          <w:tcPr>
            <w:tcW w:w="875" w:type="dxa"/>
            <w:tcBorders>
              <w:top w:val="nil"/>
              <w:left w:val="nil"/>
              <w:bottom w:val="single" w:sz="4" w:space="0" w:color="auto"/>
              <w:right w:val="single" w:sz="4" w:space="0" w:color="auto"/>
            </w:tcBorders>
            <w:shd w:val="clear" w:color="auto" w:fill="auto"/>
            <w:noWrap/>
            <w:vAlign w:val="bottom"/>
            <w:hideMark/>
          </w:tcPr>
          <w:p w:rsidR="00C244F6" w:rsidRPr="00452BE0" w:rsidRDefault="00C244F6" w:rsidP="00B377ED">
            <w:pPr>
              <w:jc w:val="center"/>
              <w:rPr>
                <w:rFonts w:eastAsia="Times New Roman" w:cs="Arial"/>
                <w:sz w:val="20"/>
                <w:szCs w:val="20"/>
              </w:rPr>
            </w:pPr>
            <w:r w:rsidRPr="00452BE0">
              <w:rPr>
                <w:rFonts w:eastAsia="Times New Roman" w:cs="Arial"/>
                <w:sz w:val="20"/>
                <w:szCs w:val="20"/>
              </w:rPr>
              <w:t>-</w:t>
            </w:r>
          </w:p>
        </w:tc>
      </w:tr>
    </w:tbl>
    <w:p w:rsidR="00C244F6" w:rsidRDefault="00C244F6" w:rsidP="005C597E">
      <w:pPr>
        <w:spacing w:after="240" w:line="276" w:lineRule="auto"/>
        <w:ind w:left="709"/>
        <w:jc w:val="both"/>
        <w:rPr>
          <w:rFonts w:ascii="Book Antiqua" w:eastAsia="Times New Roman" w:hAnsi="Book Antiqua" w:cs="Tahoma"/>
          <w:color w:val="000000"/>
        </w:rPr>
      </w:pPr>
    </w:p>
    <w:p w:rsidR="00D20D68" w:rsidRPr="003250A8" w:rsidRDefault="00D20D68">
      <w:pPr>
        <w:numPr>
          <w:ilvl w:val="0"/>
          <w:numId w:val="4"/>
        </w:numPr>
        <w:spacing w:after="240" w:line="276" w:lineRule="auto"/>
        <w:ind w:left="630"/>
        <w:jc w:val="both"/>
        <w:rPr>
          <w:b/>
          <w:bCs/>
          <w:color w:val="000000"/>
        </w:rPr>
      </w:pPr>
      <w:r w:rsidRPr="003250A8">
        <w:rPr>
          <w:rFonts w:ascii="Book Antiqua" w:hAnsi="Book Antiqua"/>
          <w:b/>
          <w:bCs/>
          <w:color w:val="000000"/>
        </w:rPr>
        <w:t>UGVCL should reconcile the power purchase expenses of Rs. 11</w:t>
      </w:r>
      <w:r w:rsidR="00C856C0">
        <w:rPr>
          <w:rFonts w:ascii="Book Antiqua" w:hAnsi="Book Antiqua"/>
          <w:b/>
          <w:bCs/>
          <w:color w:val="000000"/>
        </w:rPr>
        <w:t>,</w:t>
      </w:r>
      <w:r w:rsidRPr="003250A8">
        <w:rPr>
          <w:rFonts w:ascii="Book Antiqua" w:hAnsi="Book Antiqua"/>
          <w:b/>
          <w:bCs/>
          <w:color w:val="000000"/>
        </w:rPr>
        <w:t>113.87 crore claimed in the Petition with the amount of Rs. 11</w:t>
      </w:r>
      <w:r w:rsidR="00C856C0">
        <w:rPr>
          <w:rFonts w:ascii="Book Antiqua" w:hAnsi="Book Antiqua"/>
          <w:b/>
          <w:bCs/>
          <w:color w:val="000000"/>
        </w:rPr>
        <w:t>,</w:t>
      </w:r>
      <w:r w:rsidRPr="003250A8">
        <w:rPr>
          <w:rFonts w:ascii="Book Antiqua" w:hAnsi="Book Antiqua"/>
          <w:b/>
          <w:bCs/>
          <w:color w:val="000000"/>
        </w:rPr>
        <w:t>254.28 crore as per the Audited Accounts</w:t>
      </w:r>
      <w:r w:rsidR="00FC62F5" w:rsidRPr="003250A8">
        <w:rPr>
          <w:rFonts w:ascii="Book Antiqua" w:hAnsi="Book Antiqua"/>
          <w:b/>
          <w:bCs/>
          <w:color w:val="000000"/>
        </w:rPr>
        <w:t>.</w:t>
      </w:r>
    </w:p>
    <w:p w:rsidR="002809F1" w:rsidRPr="007D4215" w:rsidRDefault="002809F1" w:rsidP="007D4215">
      <w:pPr>
        <w:spacing w:after="240"/>
        <w:ind w:left="426"/>
        <w:jc w:val="both"/>
        <w:rPr>
          <w:rFonts w:ascii="Book Antiqua" w:hAnsi="Book Antiqua"/>
          <w:b/>
          <w:bCs/>
          <w:i/>
          <w:iCs/>
          <w:lang w:val="en-GB"/>
        </w:rPr>
      </w:pPr>
      <w:r w:rsidRPr="003250A8">
        <w:rPr>
          <w:rFonts w:ascii="Book Antiqua" w:hAnsi="Book Antiqua"/>
          <w:b/>
          <w:bCs/>
          <w:lang w:val="en-GB"/>
        </w:rPr>
        <w:lastRenderedPageBreak/>
        <w:t xml:space="preserve">Compliance: </w:t>
      </w:r>
      <w:r w:rsidRPr="007D4215">
        <w:rPr>
          <w:rFonts w:ascii="Book Antiqua" w:hAnsi="Book Antiqua"/>
          <w:b/>
          <w:bCs/>
          <w:i/>
          <w:iCs/>
          <w:lang w:val="en-GB"/>
        </w:rPr>
        <w:t>-</w:t>
      </w:r>
    </w:p>
    <w:p w:rsidR="00FC62F5" w:rsidRPr="007D4215" w:rsidRDefault="004E2E92" w:rsidP="004E2E92">
      <w:pPr>
        <w:spacing w:after="240" w:line="276" w:lineRule="auto"/>
        <w:ind w:left="709"/>
        <w:jc w:val="both"/>
        <w:rPr>
          <w:rFonts w:ascii="Book Antiqua" w:hAnsi="Book Antiqua"/>
          <w:color w:val="000000"/>
        </w:rPr>
      </w:pPr>
      <w:r w:rsidRPr="007D4215">
        <w:rPr>
          <w:rFonts w:ascii="Book Antiqua" w:hAnsi="Book Antiqua"/>
          <w:color w:val="000000"/>
        </w:rPr>
        <w:t xml:space="preserve">Power Purchase Cost </w:t>
      </w:r>
      <w:r w:rsidR="00FC62F5" w:rsidRPr="007D4215">
        <w:rPr>
          <w:rFonts w:ascii="Book Antiqua" w:hAnsi="Book Antiqua"/>
          <w:color w:val="000000"/>
        </w:rPr>
        <w:t>of Rs. 11,</w:t>
      </w:r>
      <w:r w:rsidRPr="007D4215">
        <w:rPr>
          <w:rFonts w:ascii="Book Antiqua" w:hAnsi="Book Antiqua"/>
          <w:color w:val="000000"/>
        </w:rPr>
        <w:t>254</w:t>
      </w:r>
      <w:r w:rsidR="00FC62F5" w:rsidRPr="007D4215">
        <w:rPr>
          <w:rFonts w:ascii="Book Antiqua" w:hAnsi="Book Antiqua"/>
          <w:color w:val="000000"/>
        </w:rPr>
        <w:t>.</w:t>
      </w:r>
      <w:r w:rsidRPr="007D4215">
        <w:rPr>
          <w:rFonts w:ascii="Book Antiqua" w:hAnsi="Book Antiqua"/>
          <w:color w:val="000000"/>
        </w:rPr>
        <w:t>2</w:t>
      </w:r>
      <w:r w:rsidR="00FC62F5" w:rsidRPr="007D4215">
        <w:rPr>
          <w:rFonts w:ascii="Book Antiqua" w:hAnsi="Book Antiqua"/>
          <w:color w:val="000000"/>
        </w:rPr>
        <w:t xml:space="preserve">8 Crore </w:t>
      </w:r>
      <w:r w:rsidRPr="007D4215">
        <w:rPr>
          <w:rFonts w:ascii="Book Antiqua" w:hAnsi="Book Antiqua"/>
          <w:color w:val="000000"/>
        </w:rPr>
        <w:t>as shown in Note 29 of Audited Accountis net off by the Revenue of Rs. 0.76 Crore &amp;</w:t>
      </w:r>
      <w:r w:rsidR="00A43C4E" w:rsidRPr="007D4215">
        <w:rPr>
          <w:rFonts w:ascii="Book Antiqua" w:hAnsi="Book Antiqua"/>
          <w:color w:val="000000"/>
        </w:rPr>
        <w:t xml:space="preserve">Rs. </w:t>
      </w:r>
      <w:r w:rsidRPr="007D4215">
        <w:rPr>
          <w:rFonts w:ascii="Book Antiqua" w:hAnsi="Book Antiqua"/>
          <w:color w:val="000000"/>
        </w:rPr>
        <w:t>139.65 Crore form sale of Power to GUVNL &amp; DSM Charges as shown in table below:</w:t>
      </w:r>
    </w:p>
    <w:tbl>
      <w:tblPr>
        <w:tblW w:w="8857" w:type="dxa"/>
        <w:jc w:val="right"/>
        <w:tblLook w:val="04A0"/>
      </w:tblPr>
      <w:tblGrid>
        <w:gridCol w:w="746"/>
        <w:gridCol w:w="6225"/>
        <w:gridCol w:w="1886"/>
      </w:tblGrid>
      <w:tr w:rsidR="001B791D" w:rsidRPr="00AD3BA4" w:rsidTr="00BF51EC">
        <w:trPr>
          <w:cantSplit/>
          <w:trHeight w:val="601"/>
          <w:tblHeader/>
          <w:jc w:val="right"/>
        </w:trPr>
        <w:tc>
          <w:tcPr>
            <w:tcW w:w="746"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1B791D" w:rsidRPr="00AD3BA4" w:rsidRDefault="001B791D" w:rsidP="00AD3BA4">
            <w:pPr>
              <w:spacing w:line="276" w:lineRule="auto"/>
              <w:jc w:val="center"/>
              <w:rPr>
                <w:rFonts w:ascii="Book Antiqua" w:eastAsia="Times New Roman" w:hAnsi="Book Antiqua" w:cs="Arial"/>
                <w:b/>
                <w:bCs/>
                <w:lang w:eastAsia="en-IN"/>
              </w:rPr>
            </w:pPr>
            <w:r w:rsidRPr="00AD3BA4">
              <w:rPr>
                <w:rFonts w:ascii="Book Antiqua" w:eastAsia="Times New Roman" w:hAnsi="Book Antiqua" w:cs="Arial"/>
                <w:b/>
                <w:bCs/>
                <w:lang w:eastAsia="en-IN"/>
              </w:rPr>
              <w:t>S no.</w:t>
            </w:r>
          </w:p>
        </w:tc>
        <w:tc>
          <w:tcPr>
            <w:tcW w:w="6225"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1B791D" w:rsidRPr="00AD3BA4" w:rsidRDefault="00E52C36" w:rsidP="00AD3BA4">
            <w:pPr>
              <w:spacing w:line="276" w:lineRule="auto"/>
              <w:jc w:val="center"/>
              <w:rPr>
                <w:rFonts w:ascii="Book Antiqua" w:eastAsia="Times New Roman" w:hAnsi="Book Antiqua" w:cs="Arial"/>
                <w:b/>
                <w:bCs/>
                <w:lang w:eastAsia="en-IN"/>
              </w:rPr>
            </w:pPr>
            <w:r w:rsidRPr="00AD3BA4">
              <w:rPr>
                <w:rFonts w:ascii="Book Antiqua" w:eastAsia="Times New Roman" w:hAnsi="Book Antiqua" w:cs="Arial"/>
                <w:b/>
                <w:bCs/>
                <w:lang w:eastAsia="en-IN"/>
              </w:rPr>
              <w:t>P</w:t>
            </w:r>
            <w:r w:rsidR="001B791D" w:rsidRPr="00AD3BA4">
              <w:rPr>
                <w:rFonts w:ascii="Book Antiqua" w:eastAsia="Times New Roman" w:hAnsi="Book Antiqua" w:cs="Arial"/>
                <w:b/>
                <w:bCs/>
                <w:lang w:eastAsia="en-IN"/>
              </w:rPr>
              <w:t>articular</w:t>
            </w:r>
          </w:p>
        </w:tc>
        <w:tc>
          <w:tcPr>
            <w:tcW w:w="1886"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1B791D" w:rsidRPr="00AD3BA4" w:rsidRDefault="001B791D" w:rsidP="00AD3BA4">
            <w:pPr>
              <w:spacing w:line="276" w:lineRule="auto"/>
              <w:jc w:val="center"/>
              <w:rPr>
                <w:rFonts w:ascii="Book Antiqua" w:eastAsia="Times New Roman" w:hAnsi="Book Antiqua" w:cs="Arial"/>
                <w:b/>
                <w:bCs/>
                <w:lang w:eastAsia="en-IN"/>
              </w:rPr>
            </w:pPr>
            <w:r w:rsidRPr="00AD3BA4">
              <w:rPr>
                <w:rFonts w:ascii="Book Antiqua" w:eastAsia="Times New Roman" w:hAnsi="Book Antiqua" w:cs="Arial"/>
                <w:b/>
                <w:bCs/>
                <w:lang w:eastAsia="en-IN"/>
              </w:rPr>
              <w:t>FY 2018-19</w:t>
            </w:r>
          </w:p>
          <w:p w:rsidR="001B791D" w:rsidRPr="00AD3BA4" w:rsidRDefault="001B791D" w:rsidP="00AD3BA4">
            <w:pPr>
              <w:spacing w:line="276" w:lineRule="auto"/>
              <w:jc w:val="center"/>
              <w:rPr>
                <w:rFonts w:ascii="Book Antiqua" w:eastAsia="Times New Roman" w:hAnsi="Book Antiqua" w:cs="Arial"/>
                <w:b/>
                <w:bCs/>
                <w:lang w:eastAsia="en-IN"/>
              </w:rPr>
            </w:pPr>
            <w:r w:rsidRPr="00AD3BA4">
              <w:rPr>
                <w:rFonts w:ascii="Book Antiqua" w:eastAsia="Times New Roman" w:hAnsi="Book Antiqua" w:cs="Arial"/>
                <w:b/>
                <w:bCs/>
                <w:lang w:eastAsia="en-IN"/>
              </w:rPr>
              <w:t>(in</w:t>
            </w:r>
            <w:r w:rsidR="00AD3BA4">
              <w:rPr>
                <w:rFonts w:ascii="Book Antiqua" w:eastAsia="Times New Roman" w:hAnsi="Book Antiqua" w:cs="Arial"/>
                <w:b/>
                <w:bCs/>
                <w:lang w:eastAsia="en-IN"/>
              </w:rPr>
              <w:t xml:space="preserve"> Rs.</w:t>
            </w:r>
            <w:r w:rsidRPr="00AD3BA4">
              <w:rPr>
                <w:rFonts w:ascii="Book Antiqua" w:eastAsia="Times New Roman" w:hAnsi="Book Antiqua" w:cs="Arial"/>
                <w:b/>
                <w:bCs/>
                <w:lang w:eastAsia="en-IN"/>
              </w:rPr>
              <w:t xml:space="preserve"> Crore)</w:t>
            </w:r>
          </w:p>
        </w:tc>
      </w:tr>
      <w:tr w:rsidR="001B791D" w:rsidRPr="00AD3BA4" w:rsidTr="00AD3BA4">
        <w:trPr>
          <w:trHeight w:val="336"/>
          <w:jc w:val="right"/>
        </w:trPr>
        <w:tc>
          <w:tcPr>
            <w:tcW w:w="746" w:type="dxa"/>
            <w:tcBorders>
              <w:top w:val="nil"/>
              <w:left w:val="single" w:sz="4" w:space="0" w:color="auto"/>
              <w:bottom w:val="single" w:sz="4" w:space="0" w:color="auto"/>
              <w:right w:val="single" w:sz="4" w:space="0" w:color="auto"/>
            </w:tcBorders>
            <w:shd w:val="clear" w:color="000000" w:fill="FFFFFF"/>
            <w:noWrap/>
            <w:vAlign w:val="center"/>
            <w:hideMark/>
          </w:tcPr>
          <w:p w:rsidR="001B791D" w:rsidRPr="00AD3BA4" w:rsidRDefault="001B791D" w:rsidP="00AD3BA4">
            <w:pPr>
              <w:spacing w:line="276" w:lineRule="auto"/>
              <w:jc w:val="center"/>
              <w:rPr>
                <w:rFonts w:ascii="Book Antiqua" w:eastAsia="Times New Roman" w:hAnsi="Book Antiqua" w:cs="Arial"/>
                <w:lang w:eastAsia="en-IN"/>
              </w:rPr>
            </w:pPr>
            <w:r w:rsidRPr="00AD3BA4">
              <w:rPr>
                <w:rFonts w:ascii="Book Antiqua" w:eastAsia="Times New Roman" w:hAnsi="Book Antiqua" w:cs="Arial"/>
                <w:lang w:eastAsia="en-IN"/>
              </w:rPr>
              <w:t>1</w:t>
            </w:r>
          </w:p>
        </w:tc>
        <w:tc>
          <w:tcPr>
            <w:tcW w:w="6225" w:type="dxa"/>
            <w:tcBorders>
              <w:top w:val="nil"/>
              <w:left w:val="nil"/>
              <w:bottom w:val="single" w:sz="4" w:space="0" w:color="auto"/>
              <w:right w:val="single" w:sz="4" w:space="0" w:color="auto"/>
            </w:tcBorders>
            <w:shd w:val="clear" w:color="auto" w:fill="auto"/>
            <w:noWrap/>
            <w:vAlign w:val="center"/>
            <w:hideMark/>
          </w:tcPr>
          <w:p w:rsidR="001B791D" w:rsidRPr="00AD3BA4" w:rsidRDefault="001B791D" w:rsidP="00AD3BA4">
            <w:pPr>
              <w:spacing w:line="276" w:lineRule="auto"/>
              <w:rPr>
                <w:rFonts w:ascii="Book Antiqua" w:eastAsia="Times New Roman" w:hAnsi="Book Antiqua" w:cs="Arial"/>
                <w:lang w:eastAsia="en-IN"/>
              </w:rPr>
            </w:pPr>
            <w:r w:rsidRPr="00AD3BA4">
              <w:rPr>
                <w:rFonts w:ascii="Book Antiqua" w:eastAsia="Times New Roman" w:hAnsi="Book Antiqua" w:cs="Arial"/>
                <w:lang w:eastAsia="en-IN"/>
              </w:rPr>
              <w:t>Power Purchase Cost as per Not 29 of Audit A/C</w:t>
            </w:r>
          </w:p>
        </w:tc>
        <w:tc>
          <w:tcPr>
            <w:tcW w:w="1886" w:type="dxa"/>
            <w:tcBorders>
              <w:top w:val="nil"/>
              <w:left w:val="nil"/>
              <w:bottom w:val="single" w:sz="4" w:space="0" w:color="auto"/>
              <w:right w:val="single" w:sz="4" w:space="0" w:color="auto"/>
            </w:tcBorders>
            <w:shd w:val="clear" w:color="auto" w:fill="auto"/>
            <w:noWrap/>
            <w:vAlign w:val="center"/>
            <w:hideMark/>
          </w:tcPr>
          <w:p w:rsidR="001B791D" w:rsidRPr="00AD3BA4" w:rsidRDefault="001B791D" w:rsidP="00AD3BA4">
            <w:pPr>
              <w:spacing w:line="276" w:lineRule="auto"/>
              <w:jc w:val="right"/>
              <w:rPr>
                <w:rFonts w:ascii="Book Antiqua" w:eastAsia="Times New Roman" w:hAnsi="Book Antiqua" w:cs="Arial"/>
                <w:lang w:eastAsia="en-IN"/>
              </w:rPr>
            </w:pPr>
            <w:r w:rsidRPr="00AD3BA4">
              <w:rPr>
                <w:rFonts w:ascii="Book Antiqua" w:eastAsia="Times New Roman" w:hAnsi="Book Antiqua" w:cs="Arial"/>
                <w:lang w:eastAsia="en-IN"/>
              </w:rPr>
              <w:t>11,254.28</w:t>
            </w:r>
          </w:p>
        </w:tc>
      </w:tr>
      <w:tr w:rsidR="001B791D" w:rsidRPr="00AD3BA4" w:rsidTr="00AD3BA4">
        <w:trPr>
          <w:trHeight w:val="336"/>
          <w:jc w:val="right"/>
        </w:trPr>
        <w:tc>
          <w:tcPr>
            <w:tcW w:w="746" w:type="dxa"/>
            <w:tcBorders>
              <w:top w:val="nil"/>
              <w:left w:val="single" w:sz="4" w:space="0" w:color="auto"/>
              <w:bottom w:val="single" w:sz="4" w:space="0" w:color="auto"/>
              <w:right w:val="single" w:sz="4" w:space="0" w:color="auto"/>
            </w:tcBorders>
            <w:shd w:val="clear" w:color="000000" w:fill="FFFFFF"/>
            <w:noWrap/>
            <w:vAlign w:val="center"/>
          </w:tcPr>
          <w:p w:rsidR="001B791D" w:rsidRPr="00AD3BA4" w:rsidRDefault="001B791D" w:rsidP="00AD3BA4">
            <w:pPr>
              <w:spacing w:line="276" w:lineRule="auto"/>
              <w:jc w:val="center"/>
              <w:rPr>
                <w:rFonts w:ascii="Book Antiqua" w:eastAsia="Times New Roman" w:hAnsi="Book Antiqua" w:cs="Arial"/>
                <w:lang w:eastAsia="en-IN"/>
              </w:rPr>
            </w:pPr>
            <w:r w:rsidRPr="00AD3BA4">
              <w:rPr>
                <w:rFonts w:ascii="Book Antiqua" w:eastAsia="Times New Roman" w:hAnsi="Book Antiqua" w:cs="Arial"/>
                <w:lang w:eastAsia="en-IN"/>
              </w:rPr>
              <w:t>2</w:t>
            </w:r>
          </w:p>
        </w:tc>
        <w:tc>
          <w:tcPr>
            <w:tcW w:w="6225" w:type="dxa"/>
            <w:tcBorders>
              <w:top w:val="nil"/>
              <w:left w:val="nil"/>
              <w:bottom w:val="single" w:sz="4" w:space="0" w:color="auto"/>
              <w:right w:val="single" w:sz="4" w:space="0" w:color="auto"/>
            </w:tcBorders>
            <w:shd w:val="clear" w:color="auto" w:fill="auto"/>
            <w:noWrap/>
            <w:vAlign w:val="center"/>
          </w:tcPr>
          <w:p w:rsidR="001B791D" w:rsidRPr="00AD3BA4" w:rsidRDefault="001B791D" w:rsidP="00AD3BA4">
            <w:pPr>
              <w:spacing w:line="276" w:lineRule="auto"/>
              <w:rPr>
                <w:rFonts w:ascii="Book Antiqua" w:eastAsia="Times New Roman" w:hAnsi="Book Antiqua" w:cs="Arial"/>
                <w:lang w:eastAsia="en-IN"/>
              </w:rPr>
            </w:pPr>
            <w:r w:rsidRPr="00AD3BA4">
              <w:rPr>
                <w:rFonts w:ascii="Book Antiqua" w:eastAsia="Times New Roman" w:hAnsi="Book Antiqua" w:cs="Arial"/>
                <w:lang w:eastAsia="en-IN"/>
              </w:rPr>
              <w:t xml:space="preserve">Less: </w:t>
            </w:r>
            <w:r w:rsidR="00911F51" w:rsidRPr="00AD3BA4">
              <w:rPr>
                <w:rFonts w:ascii="Book Antiqua" w:eastAsia="Times New Roman" w:hAnsi="Book Antiqua" w:cs="Arial"/>
                <w:lang w:eastAsia="en-IN"/>
              </w:rPr>
              <w:t>Revenue</w:t>
            </w:r>
            <w:r w:rsidRPr="00AD3BA4">
              <w:rPr>
                <w:rFonts w:ascii="Book Antiqua" w:eastAsia="Times New Roman" w:hAnsi="Book Antiqua" w:cs="Arial"/>
                <w:lang w:eastAsia="en-IN"/>
              </w:rPr>
              <w:t xml:space="preserve"> from Sale of Power to GUVNL*</w:t>
            </w:r>
          </w:p>
        </w:tc>
        <w:tc>
          <w:tcPr>
            <w:tcW w:w="1886" w:type="dxa"/>
            <w:tcBorders>
              <w:top w:val="nil"/>
              <w:left w:val="nil"/>
              <w:bottom w:val="single" w:sz="4" w:space="0" w:color="auto"/>
              <w:right w:val="single" w:sz="4" w:space="0" w:color="auto"/>
            </w:tcBorders>
            <w:shd w:val="clear" w:color="auto" w:fill="auto"/>
            <w:noWrap/>
            <w:vAlign w:val="center"/>
          </w:tcPr>
          <w:p w:rsidR="001B791D" w:rsidRPr="00AD3BA4" w:rsidRDefault="001B791D" w:rsidP="00AD3BA4">
            <w:pPr>
              <w:spacing w:line="276" w:lineRule="auto"/>
              <w:jc w:val="right"/>
              <w:rPr>
                <w:rFonts w:ascii="Book Antiqua" w:eastAsia="Times New Roman" w:hAnsi="Book Antiqua" w:cs="Arial"/>
                <w:lang w:eastAsia="en-IN"/>
              </w:rPr>
            </w:pPr>
            <w:r w:rsidRPr="00AD3BA4">
              <w:rPr>
                <w:rFonts w:ascii="Book Antiqua" w:eastAsia="Times New Roman" w:hAnsi="Book Antiqua" w:cs="Arial"/>
                <w:lang w:eastAsia="en-IN"/>
              </w:rPr>
              <w:t>0.76</w:t>
            </w:r>
          </w:p>
        </w:tc>
      </w:tr>
      <w:tr w:rsidR="001B791D" w:rsidRPr="00AD3BA4" w:rsidTr="00AD3BA4">
        <w:trPr>
          <w:trHeight w:val="135"/>
          <w:jc w:val="right"/>
        </w:trPr>
        <w:tc>
          <w:tcPr>
            <w:tcW w:w="746" w:type="dxa"/>
            <w:tcBorders>
              <w:top w:val="nil"/>
              <w:left w:val="single" w:sz="4" w:space="0" w:color="auto"/>
              <w:bottom w:val="single" w:sz="4" w:space="0" w:color="auto"/>
              <w:right w:val="single" w:sz="4" w:space="0" w:color="auto"/>
            </w:tcBorders>
            <w:shd w:val="clear" w:color="000000" w:fill="FFFFFF"/>
            <w:noWrap/>
            <w:vAlign w:val="center"/>
            <w:hideMark/>
          </w:tcPr>
          <w:p w:rsidR="001B791D" w:rsidRPr="00AD3BA4" w:rsidRDefault="001B791D" w:rsidP="00AD3BA4">
            <w:pPr>
              <w:spacing w:line="276" w:lineRule="auto"/>
              <w:jc w:val="center"/>
              <w:rPr>
                <w:rFonts w:ascii="Book Antiqua" w:eastAsia="Times New Roman" w:hAnsi="Book Antiqua" w:cs="Arial"/>
                <w:lang w:eastAsia="en-IN"/>
              </w:rPr>
            </w:pPr>
            <w:r w:rsidRPr="00AD3BA4">
              <w:rPr>
                <w:rFonts w:ascii="Book Antiqua" w:eastAsia="Times New Roman" w:hAnsi="Book Antiqua" w:cs="Arial"/>
                <w:lang w:eastAsia="en-IN"/>
              </w:rPr>
              <w:t>3</w:t>
            </w:r>
          </w:p>
        </w:tc>
        <w:tc>
          <w:tcPr>
            <w:tcW w:w="6225" w:type="dxa"/>
            <w:tcBorders>
              <w:top w:val="nil"/>
              <w:left w:val="nil"/>
              <w:bottom w:val="single" w:sz="4" w:space="0" w:color="auto"/>
              <w:right w:val="single" w:sz="4" w:space="0" w:color="auto"/>
            </w:tcBorders>
            <w:shd w:val="clear" w:color="auto" w:fill="auto"/>
            <w:noWrap/>
            <w:vAlign w:val="center"/>
            <w:hideMark/>
          </w:tcPr>
          <w:p w:rsidR="001B791D" w:rsidRPr="00AD3BA4" w:rsidRDefault="001B791D" w:rsidP="00AD3BA4">
            <w:pPr>
              <w:spacing w:line="276" w:lineRule="auto"/>
              <w:rPr>
                <w:rFonts w:ascii="Book Antiqua" w:eastAsia="Times New Roman" w:hAnsi="Book Antiqua" w:cs="Arial"/>
                <w:lang w:eastAsia="en-IN"/>
              </w:rPr>
            </w:pPr>
            <w:r w:rsidRPr="00AD3BA4">
              <w:rPr>
                <w:rFonts w:ascii="Book Antiqua" w:eastAsia="Times New Roman" w:hAnsi="Book Antiqua" w:cs="Arial"/>
                <w:lang w:eastAsia="en-IN"/>
              </w:rPr>
              <w:t xml:space="preserve">Less: </w:t>
            </w:r>
            <w:r w:rsidR="00911F51" w:rsidRPr="00AD3BA4">
              <w:rPr>
                <w:rFonts w:ascii="Book Antiqua" w:eastAsia="Times New Roman" w:hAnsi="Book Antiqua" w:cs="Arial"/>
                <w:lang w:eastAsia="en-IN"/>
              </w:rPr>
              <w:t>Revenue</w:t>
            </w:r>
            <w:r w:rsidRPr="00AD3BA4">
              <w:rPr>
                <w:rFonts w:ascii="Book Antiqua" w:eastAsia="Times New Roman" w:hAnsi="Book Antiqua" w:cs="Arial"/>
                <w:lang w:eastAsia="en-IN"/>
              </w:rPr>
              <w:t xml:space="preserve"> from DSM Unscheduled Interchange*</w:t>
            </w:r>
          </w:p>
        </w:tc>
        <w:tc>
          <w:tcPr>
            <w:tcW w:w="1886" w:type="dxa"/>
            <w:tcBorders>
              <w:top w:val="nil"/>
              <w:left w:val="nil"/>
              <w:bottom w:val="single" w:sz="4" w:space="0" w:color="auto"/>
              <w:right w:val="single" w:sz="4" w:space="0" w:color="auto"/>
            </w:tcBorders>
            <w:shd w:val="clear" w:color="auto" w:fill="auto"/>
            <w:noWrap/>
            <w:vAlign w:val="center"/>
            <w:hideMark/>
          </w:tcPr>
          <w:p w:rsidR="001B791D" w:rsidRPr="00AD3BA4" w:rsidRDefault="001B791D" w:rsidP="00AD3BA4">
            <w:pPr>
              <w:spacing w:line="276" w:lineRule="auto"/>
              <w:jc w:val="right"/>
              <w:rPr>
                <w:rFonts w:ascii="Book Antiqua" w:eastAsia="Times New Roman" w:hAnsi="Book Antiqua" w:cs="Arial"/>
                <w:lang w:eastAsia="en-IN"/>
              </w:rPr>
            </w:pPr>
            <w:r w:rsidRPr="00AD3BA4">
              <w:rPr>
                <w:rFonts w:ascii="Book Antiqua" w:eastAsia="Times New Roman" w:hAnsi="Book Antiqua" w:cs="Arial"/>
                <w:lang w:eastAsia="en-IN"/>
              </w:rPr>
              <w:t>139.65</w:t>
            </w:r>
          </w:p>
        </w:tc>
      </w:tr>
      <w:tr w:rsidR="001B791D" w:rsidRPr="00AD3BA4" w:rsidTr="00AD3BA4">
        <w:trPr>
          <w:trHeight w:val="300"/>
          <w:jc w:val="right"/>
        </w:trPr>
        <w:tc>
          <w:tcPr>
            <w:tcW w:w="746" w:type="dxa"/>
            <w:tcBorders>
              <w:top w:val="nil"/>
              <w:left w:val="single" w:sz="4" w:space="0" w:color="auto"/>
              <w:bottom w:val="single" w:sz="4" w:space="0" w:color="auto"/>
              <w:right w:val="single" w:sz="4" w:space="0" w:color="auto"/>
            </w:tcBorders>
            <w:shd w:val="clear" w:color="000000" w:fill="FFFFFF"/>
            <w:noWrap/>
            <w:vAlign w:val="center"/>
            <w:hideMark/>
          </w:tcPr>
          <w:p w:rsidR="001B791D" w:rsidRPr="00AD3BA4" w:rsidRDefault="001B791D" w:rsidP="00AD3BA4">
            <w:pPr>
              <w:spacing w:line="276" w:lineRule="auto"/>
              <w:jc w:val="center"/>
              <w:rPr>
                <w:rFonts w:ascii="Book Antiqua" w:eastAsia="Times New Roman" w:hAnsi="Book Antiqua" w:cs="Arial"/>
                <w:lang w:eastAsia="en-IN"/>
              </w:rPr>
            </w:pPr>
          </w:p>
        </w:tc>
        <w:tc>
          <w:tcPr>
            <w:tcW w:w="6225" w:type="dxa"/>
            <w:tcBorders>
              <w:top w:val="nil"/>
              <w:left w:val="nil"/>
              <w:bottom w:val="single" w:sz="4" w:space="0" w:color="auto"/>
              <w:right w:val="single" w:sz="4" w:space="0" w:color="auto"/>
            </w:tcBorders>
            <w:shd w:val="clear" w:color="auto" w:fill="auto"/>
            <w:noWrap/>
            <w:vAlign w:val="center"/>
            <w:hideMark/>
          </w:tcPr>
          <w:p w:rsidR="001B791D" w:rsidRPr="00AD3BA4" w:rsidRDefault="001B791D" w:rsidP="00AD3BA4">
            <w:pPr>
              <w:spacing w:line="276" w:lineRule="auto"/>
              <w:rPr>
                <w:rFonts w:ascii="Book Antiqua" w:eastAsia="Times New Roman" w:hAnsi="Book Antiqua" w:cs="Arial"/>
                <w:b/>
                <w:bCs/>
                <w:lang w:eastAsia="en-IN"/>
              </w:rPr>
            </w:pPr>
            <w:r w:rsidRPr="00AD3BA4">
              <w:rPr>
                <w:rFonts w:ascii="Book Antiqua" w:eastAsia="Times New Roman" w:hAnsi="Book Antiqua" w:cs="Arial"/>
                <w:b/>
                <w:bCs/>
                <w:lang w:eastAsia="en-IN"/>
              </w:rPr>
              <w:t>Net Power Purchase Cost</w:t>
            </w:r>
          </w:p>
        </w:tc>
        <w:tc>
          <w:tcPr>
            <w:tcW w:w="1886" w:type="dxa"/>
            <w:tcBorders>
              <w:top w:val="nil"/>
              <w:left w:val="nil"/>
              <w:bottom w:val="single" w:sz="4" w:space="0" w:color="auto"/>
              <w:right w:val="single" w:sz="4" w:space="0" w:color="auto"/>
            </w:tcBorders>
            <w:shd w:val="clear" w:color="auto" w:fill="auto"/>
            <w:noWrap/>
            <w:vAlign w:val="center"/>
            <w:hideMark/>
          </w:tcPr>
          <w:p w:rsidR="001B791D" w:rsidRPr="00AD3BA4" w:rsidRDefault="001B791D" w:rsidP="00AD3BA4">
            <w:pPr>
              <w:spacing w:line="276" w:lineRule="auto"/>
              <w:jc w:val="right"/>
              <w:rPr>
                <w:rFonts w:ascii="Book Antiqua" w:eastAsia="Times New Roman" w:hAnsi="Book Antiqua" w:cs="Arial"/>
                <w:b/>
                <w:bCs/>
                <w:lang w:eastAsia="en-IN"/>
              </w:rPr>
            </w:pPr>
            <w:r w:rsidRPr="00AD3BA4">
              <w:rPr>
                <w:rFonts w:ascii="Book Antiqua" w:eastAsia="Times New Roman" w:hAnsi="Book Antiqua" w:cs="Arial"/>
                <w:b/>
                <w:bCs/>
                <w:lang w:eastAsia="en-IN"/>
              </w:rPr>
              <w:t>11,113.87</w:t>
            </w:r>
          </w:p>
        </w:tc>
      </w:tr>
    </w:tbl>
    <w:p w:rsidR="00911F51" w:rsidRPr="00AD3BA4" w:rsidRDefault="001B791D" w:rsidP="00AD3BA4">
      <w:pPr>
        <w:pStyle w:val="ListParagraph"/>
        <w:spacing w:after="240"/>
        <w:ind w:left="851"/>
        <w:jc w:val="both"/>
        <w:rPr>
          <w:rFonts w:ascii="Book Antiqua" w:hAnsi="Book Antiqua"/>
          <w:color w:val="000000"/>
        </w:rPr>
      </w:pPr>
      <w:r w:rsidRPr="00AD3BA4">
        <w:rPr>
          <w:rFonts w:ascii="Book Antiqua" w:hAnsi="Book Antiqua"/>
          <w:color w:val="000000"/>
          <w:sz w:val="24"/>
          <w:szCs w:val="24"/>
        </w:rPr>
        <w:t>*</w:t>
      </w:r>
      <w:r w:rsidR="00911F51" w:rsidRPr="00AD3BA4">
        <w:rPr>
          <w:rFonts w:ascii="Book Antiqua" w:hAnsi="Book Antiqua"/>
          <w:color w:val="000000"/>
          <w:sz w:val="24"/>
          <w:szCs w:val="24"/>
        </w:rPr>
        <w:t>Accounted under Revenue from sale of Power (Note 27)</w:t>
      </w:r>
    </w:p>
    <w:p w:rsidR="00386A49" w:rsidRPr="007D4215" w:rsidRDefault="00911F51" w:rsidP="00AD3BA4">
      <w:pPr>
        <w:spacing w:after="240"/>
        <w:ind w:left="709"/>
        <w:jc w:val="both"/>
        <w:rPr>
          <w:rFonts w:ascii="Book Antiqua" w:eastAsia="Times New Roman" w:hAnsi="Book Antiqua"/>
          <w:color w:val="000000"/>
        </w:rPr>
      </w:pPr>
      <w:r w:rsidRPr="007D4215">
        <w:rPr>
          <w:rFonts w:ascii="Book Antiqua" w:eastAsia="Times New Roman" w:hAnsi="Book Antiqua"/>
          <w:color w:val="000000"/>
        </w:rPr>
        <w:t xml:space="preserve">Accordingly, UGVCL has Claimed Rs. 11,113.87 Crore of Net Power Purchase Cost in the petition.  </w:t>
      </w:r>
    </w:p>
    <w:p w:rsidR="00D20D68" w:rsidRPr="00AD3BA4" w:rsidRDefault="00D20D68" w:rsidP="002E5E0B">
      <w:pPr>
        <w:numPr>
          <w:ilvl w:val="0"/>
          <w:numId w:val="4"/>
        </w:numPr>
        <w:spacing w:after="240" w:line="276" w:lineRule="auto"/>
        <w:ind w:left="630"/>
        <w:jc w:val="both"/>
        <w:rPr>
          <w:b/>
          <w:bCs/>
          <w:color w:val="000000"/>
        </w:rPr>
      </w:pPr>
      <w:r w:rsidRPr="00AD3BA4">
        <w:rPr>
          <w:rFonts w:ascii="Book Antiqua" w:hAnsi="Book Antiqua"/>
          <w:b/>
          <w:bCs/>
          <w:color w:val="000000"/>
        </w:rPr>
        <w:t>UGVCL should submit the status of RPO compliance for FY 2018-19, and cumulative shortfall/surplus till FY 2018-19, if any, separately for Solar and Non-Solar RPO.</w:t>
      </w:r>
    </w:p>
    <w:p w:rsidR="002809F1" w:rsidRPr="00AD3BA4" w:rsidRDefault="002809F1" w:rsidP="007D4215">
      <w:pPr>
        <w:spacing w:after="240"/>
        <w:ind w:left="426"/>
        <w:jc w:val="both"/>
        <w:rPr>
          <w:rFonts w:ascii="Book Antiqua" w:hAnsi="Book Antiqua"/>
          <w:b/>
          <w:bCs/>
          <w:lang w:val="en-GB"/>
        </w:rPr>
      </w:pPr>
      <w:r w:rsidRPr="00AD3BA4">
        <w:rPr>
          <w:rFonts w:ascii="Book Antiqua" w:hAnsi="Book Antiqua"/>
          <w:b/>
          <w:bCs/>
          <w:lang w:val="en-GB"/>
        </w:rPr>
        <w:t>Compliance: -</w:t>
      </w:r>
    </w:p>
    <w:p w:rsidR="002F2E28" w:rsidRPr="007D4215" w:rsidRDefault="002F2E28" w:rsidP="005C597E">
      <w:pPr>
        <w:spacing w:after="240" w:line="276" w:lineRule="auto"/>
        <w:ind w:left="709"/>
        <w:jc w:val="both"/>
        <w:rPr>
          <w:rFonts w:ascii="Book Antiqua" w:eastAsia="Times New Roman" w:hAnsi="Book Antiqua"/>
          <w:color w:val="000000"/>
        </w:rPr>
      </w:pPr>
      <w:r w:rsidRPr="007D4215">
        <w:rPr>
          <w:rFonts w:ascii="Book Antiqua" w:eastAsia="Times New Roman" w:hAnsi="Book Antiqua"/>
          <w:color w:val="000000"/>
        </w:rPr>
        <w:t xml:space="preserve">For FY 2018-19, the RPO </w:t>
      </w:r>
      <w:r w:rsidR="00AD3BA4">
        <w:rPr>
          <w:rFonts w:ascii="Book Antiqua" w:eastAsia="Times New Roman" w:hAnsi="Book Antiqua"/>
          <w:color w:val="000000"/>
        </w:rPr>
        <w:t xml:space="preserve">target </w:t>
      </w:r>
      <w:r w:rsidRPr="007D4215">
        <w:rPr>
          <w:rFonts w:ascii="Book Antiqua" w:eastAsia="Times New Roman" w:hAnsi="Book Antiqua"/>
          <w:color w:val="000000"/>
        </w:rPr>
        <w:t>stipulated by Hon’ble Commission was 12.70% against which the actual target achieved is 12.04%. Thus, there is shortfall of 0.66% in RPO target achievement during FY 2018-19 due to various uncontrollable factors, for which GUVNL has filed</w:t>
      </w:r>
      <w:r w:rsidR="00AD3BA4">
        <w:rPr>
          <w:rFonts w:ascii="Book Antiqua" w:eastAsia="Times New Roman" w:hAnsi="Book Antiqua"/>
          <w:color w:val="000000"/>
        </w:rPr>
        <w:t xml:space="preserve"> a</w:t>
      </w:r>
      <w:r w:rsidRPr="007D4215">
        <w:rPr>
          <w:rFonts w:ascii="Book Antiqua" w:eastAsia="Times New Roman" w:hAnsi="Book Antiqua"/>
          <w:color w:val="000000"/>
        </w:rPr>
        <w:t xml:space="preserve"> petition before </w:t>
      </w:r>
      <w:r w:rsidR="00AD3BA4">
        <w:rPr>
          <w:rFonts w:ascii="Book Antiqua" w:eastAsia="Times New Roman" w:hAnsi="Book Antiqua"/>
          <w:color w:val="000000"/>
        </w:rPr>
        <w:t xml:space="preserve">the </w:t>
      </w:r>
      <w:r w:rsidRPr="007D4215">
        <w:rPr>
          <w:rFonts w:ascii="Book Antiqua" w:eastAsia="Times New Roman" w:hAnsi="Book Antiqua"/>
          <w:color w:val="000000"/>
        </w:rPr>
        <w:t>Hon’ble Commission</w:t>
      </w:r>
      <w:r w:rsidR="00AD3BA4">
        <w:rPr>
          <w:rFonts w:ascii="Book Antiqua" w:eastAsia="Times New Roman" w:hAnsi="Book Antiqua"/>
          <w:color w:val="000000"/>
        </w:rPr>
        <w:t>.</w:t>
      </w:r>
      <w:r w:rsidRPr="007D4215">
        <w:rPr>
          <w:rFonts w:ascii="Book Antiqua" w:eastAsia="Times New Roman" w:hAnsi="Book Antiqua"/>
          <w:color w:val="000000"/>
        </w:rPr>
        <w:t xml:space="preserve"> The details of RPO compliance is as under:</w:t>
      </w: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0"/>
        <w:gridCol w:w="1224"/>
        <w:gridCol w:w="1048"/>
        <w:gridCol w:w="1160"/>
        <w:gridCol w:w="1048"/>
      </w:tblGrid>
      <w:tr w:rsidR="002F2E28" w:rsidRPr="00ED21AE" w:rsidTr="005C597E">
        <w:trPr>
          <w:trHeight w:val="204"/>
          <w:jc w:val="center"/>
        </w:trPr>
        <w:tc>
          <w:tcPr>
            <w:tcW w:w="3730" w:type="dxa"/>
            <w:tcBorders>
              <w:bottom w:val="single" w:sz="4" w:space="0" w:color="auto"/>
            </w:tcBorders>
            <w:shd w:val="clear" w:color="auto" w:fill="FABF8F" w:themeFill="accent6" w:themeFillTint="99"/>
            <w:noWrap/>
            <w:vAlign w:val="center"/>
          </w:tcPr>
          <w:p w:rsidR="002F2E28" w:rsidRPr="00DC3813" w:rsidRDefault="002F2E28" w:rsidP="002F2E28">
            <w:pPr>
              <w:jc w:val="center"/>
              <w:rPr>
                <w:rFonts w:ascii="Book Antiqua" w:hAnsi="Book Antiqua" w:cs="Arial"/>
                <w:b/>
                <w:bCs/>
              </w:rPr>
            </w:pPr>
            <w:r w:rsidRPr="00DC3813">
              <w:rPr>
                <w:rFonts w:ascii="Book Antiqua" w:hAnsi="Book Antiqua" w:cs="Arial"/>
                <w:b/>
                <w:bCs/>
              </w:rPr>
              <w:t xml:space="preserve">RPO </w:t>
            </w:r>
          </w:p>
        </w:tc>
        <w:tc>
          <w:tcPr>
            <w:tcW w:w="1224" w:type="dxa"/>
            <w:shd w:val="clear" w:color="auto" w:fill="FABF8F" w:themeFill="accent6" w:themeFillTint="99"/>
            <w:noWrap/>
            <w:vAlign w:val="center"/>
          </w:tcPr>
          <w:p w:rsidR="002F2E28" w:rsidRPr="00DC3813" w:rsidRDefault="002F2E28" w:rsidP="002F2E28">
            <w:pPr>
              <w:jc w:val="center"/>
              <w:rPr>
                <w:rFonts w:ascii="Book Antiqua" w:hAnsi="Book Antiqua" w:cs="Arial"/>
                <w:b/>
                <w:bCs/>
              </w:rPr>
            </w:pPr>
            <w:r w:rsidRPr="00DC3813">
              <w:rPr>
                <w:rFonts w:ascii="Book Antiqua" w:hAnsi="Book Antiqua" w:cs="Arial"/>
                <w:b/>
                <w:bCs/>
              </w:rPr>
              <w:t>Wind</w:t>
            </w:r>
          </w:p>
        </w:tc>
        <w:tc>
          <w:tcPr>
            <w:tcW w:w="1048" w:type="dxa"/>
            <w:shd w:val="clear" w:color="auto" w:fill="FABF8F" w:themeFill="accent6" w:themeFillTint="99"/>
            <w:vAlign w:val="center"/>
          </w:tcPr>
          <w:p w:rsidR="002F2E28" w:rsidRPr="00DC3813" w:rsidRDefault="002F2E28" w:rsidP="002F2E28">
            <w:pPr>
              <w:jc w:val="center"/>
              <w:rPr>
                <w:rFonts w:ascii="Book Antiqua" w:hAnsi="Book Antiqua" w:cs="Arial"/>
                <w:b/>
                <w:bCs/>
              </w:rPr>
            </w:pPr>
            <w:r w:rsidRPr="00DC3813">
              <w:rPr>
                <w:rFonts w:ascii="Book Antiqua" w:hAnsi="Book Antiqua" w:cs="Arial"/>
                <w:b/>
                <w:bCs/>
              </w:rPr>
              <w:t>Solar</w:t>
            </w:r>
          </w:p>
        </w:tc>
        <w:tc>
          <w:tcPr>
            <w:tcW w:w="1160" w:type="dxa"/>
            <w:shd w:val="clear" w:color="auto" w:fill="FABF8F" w:themeFill="accent6" w:themeFillTint="99"/>
            <w:vAlign w:val="center"/>
          </w:tcPr>
          <w:p w:rsidR="002F2E28" w:rsidRPr="00DC3813" w:rsidRDefault="002F2E28" w:rsidP="002F2E28">
            <w:pPr>
              <w:jc w:val="center"/>
              <w:rPr>
                <w:rFonts w:ascii="Book Antiqua" w:hAnsi="Book Antiqua" w:cs="Arial"/>
                <w:b/>
                <w:bCs/>
              </w:rPr>
            </w:pPr>
            <w:r w:rsidRPr="00DC3813">
              <w:rPr>
                <w:rFonts w:ascii="Book Antiqua" w:hAnsi="Book Antiqua" w:cs="Arial"/>
                <w:b/>
                <w:bCs/>
              </w:rPr>
              <w:t>Others</w:t>
            </w:r>
          </w:p>
        </w:tc>
        <w:tc>
          <w:tcPr>
            <w:tcW w:w="1048" w:type="dxa"/>
            <w:shd w:val="clear" w:color="auto" w:fill="FABF8F" w:themeFill="accent6" w:themeFillTint="99"/>
            <w:vAlign w:val="center"/>
          </w:tcPr>
          <w:p w:rsidR="002F2E28" w:rsidRPr="00DC3813" w:rsidRDefault="002F2E28" w:rsidP="002F2E28">
            <w:pPr>
              <w:jc w:val="center"/>
              <w:rPr>
                <w:rFonts w:ascii="Book Antiqua" w:hAnsi="Book Antiqua" w:cs="Arial"/>
                <w:b/>
                <w:bCs/>
              </w:rPr>
            </w:pPr>
            <w:r w:rsidRPr="00DC3813">
              <w:rPr>
                <w:rFonts w:ascii="Book Antiqua" w:hAnsi="Book Antiqua" w:cs="Arial"/>
                <w:b/>
                <w:bCs/>
              </w:rPr>
              <w:t>Total</w:t>
            </w:r>
          </w:p>
        </w:tc>
      </w:tr>
      <w:tr w:rsidR="002F2E28" w:rsidRPr="00ED21AE" w:rsidTr="005C597E">
        <w:trPr>
          <w:trHeight w:val="204"/>
          <w:jc w:val="center"/>
        </w:trPr>
        <w:tc>
          <w:tcPr>
            <w:tcW w:w="3730" w:type="dxa"/>
            <w:tcBorders>
              <w:top w:val="single" w:sz="4" w:space="0" w:color="auto"/>
              <w:left w:val="single" w:sz="4" w:space="0" w:color="auto"/>
              <w:bottom w:val="single" w:sz="4" w:space="0" w:color="auto"/>
              <w:right w:val="single" w:sz="4" w:space="0" w:color="auto"/>
            </w:tcBorders>
          </w:tcPr>
          <w:p w:rsidR="002F2E28" w:rsidRPr="00DC3813" w:rsidRDefault="002F2E28" w:rsidP="002F2E28">
            <w:pPr>
              <w:rPr>
                <w:rFonts w:ascii="Book Antiqua" w:hAnsi="Book Antiqua" w:cs="Arial"/>
                <w:b/>
                <w:bCs/>
              </w:rPr>
            </w:pPr>
            <w:r w:rsidRPr="00DC3813">
              <w:rPr>
                <w:rFonts w:ascii="Book Antiqua" w:hAnsi="Book Antiqua" w:cs="Arial"/>
                <w:b/>
                <w:bCs/>
              </w:rPr>
              <w:t>Stipulated RPO for FY 2018-19</w:t>
            </w:r>
          </w:p>
        </w:tc>
        <w:tc>
          <w:tcPr>
            <w:tcW w:w="1224" w:type="dxa"/>
            <w:tcBorders>
              <w:left w:val="single" w:sz="4" w:space="0" w:color="auto"/>
            </w:tcBorders>
            <w:shd w:val="clear" w:color="auto" w:fill="auto"/>
            <w:noWrap/>
            <w:vAlign w:val="center"/>
          </w:tcPr>
          <w:p w:rsidR="002F2E28" w:rsidRPr="00DC3813" w:rsidRDefault="002F2E28" w:rsidP="002F2E28">
            <w:pPr>
              <w:jc w:val="center"/>
              <w:rPr>
                <w:rFonts w:ascii="Book Antiqua" w:hAnsi="Book Antiqua" w:cs="Arial"/>
              </w:rPr>
            </w:pPr>
            <w:r w:rsidRPr="00DC3813">
              <w:rPr>
                <w:rFonts w:ascii="Book Antiqua" w:hAnsi="Book Antiqua" w:cs="Arial"/>
              </w:rPr>
              <w:t>7.95%</w:t>
            </w:r>
          </w:p>
        </w:tc>
        <w:tc>
          <w:tcPr>
            <w:tcW w:w="1048" w:type="dxa"/>
            <w:vAlign w:val="center"/>
          </w:tcPr>
          <w:p w:rsidR="002F2E28" w:rsidRPr="00DC3813" w:rsidRDefault="002F2E28" w:rsidP="002F2E28">
            <w:pPr>
              <w:jc w:val="center"/>
              <w:rPr>
                <w:rFonts w:ascii="Book Antiqua" w:hAnsi="Book Antiqua" w:cs="Arial"/>
              </w:rPr>
            </w:pPr>
            <w:r w:rsidRPr="00DC3813">
              <w:rPr>
                <w:rFonts w:ascii="Book Antiqua" w:hAnsi="Book Antiqua" w:cs="Arial"/>
              </w:rPr>
              <w:t>4.25%</w:t>
            </w:r>
          </w:p>
        </w:tc>
        <w:tc>
          <w:tcPr>
            <w:tcW w:w="1160" w:type="dxa"/>
            <w:vAlign w:val="center"/>
          </w:tcPr>
          <w:p w:rsidR="002F2E28" w:rsidRPr="00DC3813" w:rsidRDefault="002F2E28" w:rsidP="002F2E28">
            <w:pPr>
              <w:jc w:val="center"/>
              <w:rPr>
                <w:rFonts w:ascii="Book Antiqua" w:hAnsi="Book Antiqua" w:cs="Arial"/>
              </w:rPr>
            </w:pPr>
            <w:r w:rsidRPr="00DC3813">
              <w:rPr>
                <w:rFonts w:ascii="Book Antiqua" w:hAnsi="Book Antiqua" w:cs="Arial"/>
              </w:rPr>
              <w:t>0.50%</w:t>
            </w:r>
          </w:p>
        </w:tc>
        <w:tc>
          <w:tcPr>
            <w:tcW w:w="1048" w:type="dxa"/>
            <w:vAlign w:val="center"/>
          </w:tcPr>
          <w:p w:rsidR="002F2E28" w:rsidRPr="00DC3813" w:rsidRDefault="002F2E28" w:rsidP="002F2E28">
            <w:pPr>
              <w:jc w:val="center"/>
              <w:rPr>
                <w:rFonts w:ascii="Book Antiqua" w:hAnsi="Book Antiqua" w:cs="Arial"/>
              </w:rPr>
            </w:pPr>
            <w:r w:rsidRPr="00DC3813">
              <w:rPr>
                <w:rFonts w:ascii="Book Antiqua" w:hAnsi="Book Antiqua" w:cs="Arial"/>
              </w:rPr>
              <w:t>12.70%</w:t>
            </w:r>
          </w:p>
        </w:tc>
      </w:tr>
      <w:tr w:rsidR="002F2E28" w:rsidRPr="00ED21AE" w:rsidTr="005C597E">
        <w:trPr>
          <w:trHeight w:val="250"/>
          <w:jc w:val="center"/>
        </w:trPr>
        <w:tc>
          <w:tcPr>
            <w:tcW w:w="3730" w:type="dxa"/>
            <w:tcBorders>
              <w:top w:val="single" w:sz="4" w:space="0" w:color="auto"/>
              <w:left w:val="single" w:sz="4" w:space="0" w:color="auto"/>
              <w:bottom w:val="single" w:sz="4" w:space="0" w:color="auto"/>
              <w:right w:val="single" w:sz="4" w:space="0" w:color="auto"/>
            </w:tcBorders>
          </w:tcPr>
          <w:p w:rsidR="002F2E28" w:rsidRPr="00DC3813" w:rsidRDefault="002F2E28" w:rsidP="002F2E28">
            <w:pPr>
              <w:rPr>
                <w:rFonts w:ascii="Book Antiqua" w:hAnsi="Book Antiqua" w:cs="Arial"/>
                <w:b/>
                <w:bCs/>
              </w:rPr>
            </w:pPr>
            <w:r w:rsidRPr="00DC3813">
              <w:rPr>
                <w:rFonts w:ascii="Book Antiqua" w:hAnsi="Book Antiqua" w:cs="Arial"/>
                <w:b/>
                <w:bCs/>
              </w:rPr>
              <w:t xml:space="preserve">Achieved for FY 2018-19                          </w:t>
            </w:r>
          </w:p>
        </w:tc>
        <w:tc>
          <w:tcPr>
            <w:tcW w:w="1224" w:type="dxa"/>
            <w:tcBorders>
              <w:left w:val="single" w:sz="4" w:space="0" w:color="auto"/>
            </w:tcBorders>
            <w:shd w:val="clear" w:color="auto" w:fill="auto"/>
            <w:noWrap/>
            <w:vAlign w:val="center"/>
          </w:tcPr>
          <w:p w:rsidR="002F2E28" w:rsidRPr="00DC3813" w:rsidRDefault="002F2E28" w:rsidP="002F2E28">
            <w:pPr>
              <w:jc w:val="center"/>
              <w:rPr>
                <w:rFonts w:ascii="Book Antiqua" w:hAnsi="Book Antiqua" w:cs="Arial"/>
              </w:rPr>
            </w:pPr>
            <w:r w:rsidRPr="00DC3813">
              <w:rPr>
                <w:rFonts w:ascii="Book Antiqua" w:hAnsi="Book Antiqua" w:cs="Arial"/>
              </w:rPr>
              <w:t>9.02%</w:t>
            </w:r>
          </w:p>
        </w:tc>
        <w:tc>
          <w:tcPr>
            <w:tcW w:w="1048" w:type="dxa"/>
            <w:vAlign w:val="center"/>
          </w:tcPr>
          <w:p w:rsidR="002F2E28" w:rsidRPr="00DC3813" w:rsidRDefault="002F2E28" w:rsidP="002F2E28">
            <w:pPr>
              <w:jc w:val="center"/>
              <w:rPr>
                <w:rFonts w:ascii="Book Antiqua" w:hAnsi="Book Antiqua" w:cs="Arial"/>
              </w:rPr>
            </w:pPr>
            <w:r w:rsidRPr="00DC3813">
              <w:rPr>
                <w:rFonts w:ascii="Book Antiqua" w:hAnsi="Book Antiqua" w:cs="Arial"/>
              </w:rPr>
              <w:t>2.77%</w:t>
            </w:r>
          </w:p>
        </w:tc>
        <w:tc>
          <w:tcPr>
            <w:tcW w:w="1160" w:type="dxa"/>
            <w:vAlign w:val="center"/>
          </w:tcPr>
          <w:p w:rsidR="002F2E28" w:rsidRPr="00DC3813" w:rsidRDefault="002F2E28" w:rsidP="002F2E28">
            <w:pPr>
              <w:jc w:val="center"/>
              <w:rPr>
                <w:rFonts w:ascii="Book Antiqua" w:hAnsi="Book Antiqua" w:cs="Arial"/>
              </w:rPr>
            </w:pPr>
            <w:r w:rsidRPr="00DC3813">
              <w:rPr>
                <w:rFonts w:ascii="Book Antiqua" w:hAnsi="Book Antiqua" w:cs="Arial"/>
              </w:rPr>
              <w:t>0.25%</w:t>
            </w:r>
          </w:p>
        </w:tc>
        <w:tc>
          <w:tcPr>
            <w:tcW w:w="1048" w:type="dxa"/>
            <w:vAlign w:val="center"/>
          </w:tcPr>
          <w:p w:rsidR="002F2E28" w:rsidRPr="00DC3813" w:rsidRDefault="002F2E28" w:rsidP="002F2E28">
            <w:pPr>
              <w:jc w:val="center"/>
              <w:rPr>
                <w:rFonts w:ascii="Book Antiqua" w:hAnsi="Book Antiqua" w:cs="Arial"/>
              </w:rPr>
            </w:pPr>
            <w:r w:rsidRPr="00DC3813">
              <w:rPr>
                <w:rFonts w:ascii="Book Antiqua" w:hAnsi="Book Antiqua" w:cs="Arial"/>
              </w:rPr>
              <w:t>12.04%</w:t>
            </w:r>
          </w:p>
        </w:tc>
      </w:tr>
      <w:tr w:rsidR="002F2E28" w:rsidRPr="00ED21AE" w:rsidTr="005C597E">
        <w:trPr>
          <w:trHeight w:val="222"/>
          <w:jc w:val="center"/>
        </w:trPr>
        <w:tc>
          <w:tcPr>
            <w:tcW w:w="3730" w:type="dxa"/>
            <w:tcBorders>
              <w:top w:val="single" w:sz="4" w:space="0" w:color="auto"/>
            </w:tcBorders>
          </w:tcPr>
          <w:p w:rsidR="002F2E28" w:rsidRPr="00DC3813" w:rsidRDefault="002F2E28" w:rsidP="002F2E28">
            <w:pPr>
              <w:jc w:val="center"/>
              <w:rPr>
                <w:rFonts w:ascii="Book Antiqua" w:hAnsi="Book Antiqua" w:cs="Arial"/>
                <w:b/>
                <w:bCs/>
              </w:rPr>
            </w:pPr>
            <w:r w:rsidRPr="00DC3813">
              <w:rPr>
                <w:rFonts w:ascii="Book Antiqua" w:hAnsi="Book Antiqua" w:cs="Arial"/>
                <w:b/>
                <w:bCs/>
              </w:rPr>
              <w:t xml:space="preserve">Shortfall (-) / Excess (+) </w:t>
            </w:r>
          </w:p>
        </w:tc>
        <w:tc>
          <w:tcPr>
            <w:tcW w:w="4480" w:type="dxa"/>
            <w:gridSpan w:val="4"/>
            <w:shd w:val="clear" w:color="auto" w:fill="auto"/>
            <w:noWrap/>
            <w:vAlign w:val="center"/>
          </w:tcPr>
          <w:p w:rsidR="002F2E28" w:rsidRPr="00DC3813" w:rsidRDefault="002F2E28" w:rsidP="002F2E28">
            <w:pPr>
              <w:numPr>
                <w:ilvl w:val="0"/>
                <w:numId w:val="15"/>
              </w:numPr>
              <w:jc w:val="center"/>
              <w:rPr>
                <w:rFonts w:ascii="Book Antiqua" w:hAnsi="Book Antiqua" w:cs="Arial"/>
                <w:b/>
                <w:bCs/>
              </w:rPr>
            </w:pPr>
            <w:r w:rsidRPr="00DC3813">
              <w:rPr>
                <w:rFonts w:ascii="Book Antiqua" w:hAnsi="Book Antiqua" w:cs="Arial"/>
                <w:b/>
                <w:bCs/>
              </w:rPr>
              <w:t>0.66%</w:t>
            </w:r>
          </w:p>
        </w:tc>
      </w:tr>
    </w:tbl>
    <w:p w:rsidR="00386A49" w:rsidRDefault="00386A49" w:rsidP="005C597E">
      <w:pPr>
        <w:spacing w:after="240" w:line="276" w:lineRule="auto"/>
        <w:jc w:val="both"/>
        <w:rPr>
          <w:color w:val="000000"/>
        </w:rPr>
      </w:pPr>
    </w:p>
    <w:p w:rsidR="00D20D68" w:rsidRPr="00AD3BA4" w:rsidRDefault="00D20D68" w:rsidP="005C597E">
      <w:pPr>
        <w:numPr>
          <w:ilvl w:val="0"/>
          <w:numId w:val="4"/>
        </w:numPr>
        <w:spacing w:after="240" w:line="276" w:lineRule="auto"/>
        <w:ind w:left="630"/>
        <w:jc w:val="both"/>
        <w:rPr>
          <w:b/>
          <w:bCs/>
          <w:color w:val="000000"/>
        </w:rPr>
      </w:pPr>
      <w:r w:rsidRPr="00AD3BA4">
        <w:rPr>
          <w:rFonts w:ascii="Book Antiqua" w:hAnsi="Book Antiqua"/>
          <w:b/>
          <w:bCs/>
          <w:color w:val="000000"/>
        </w:rPr>
        <w:t>As regards average power purchase cost of Rs. 4.15/kWh considered in Table 11 of the Petition</w:t>
      </w:r>
      <w:r w:rsidR="00AD3BA4" w:rsidRPr="00AD3BA4">
        <w:rPr>
          <w:rFonts w:ascii="Book Antiqua" w:hAnsi="Book Antiqua"/>
          <w:b/>
          <w:bCs/>
          <w:color w:val="000000"/>
        </w:rPr>
        <w:t>.</w:t>
      </w:r>
    </w:p>
    <w:p w:rsidR="00D20D68" w:rsidRPr="00AD3BA4" w:rsidRDefault="00D20D68" w:rsidP="002E5E0B">
      <w:pPr>
        <w:numPr>
          <w:ilvl w:val="1"/>
          <w:numId w:val="5"/>
        </w:numPr>
        <w:spacing w:after="240" w:line="276" w:lineRule="auto"/>
        <w:jc w:val="both"/>
        <w:rPr>
          <w:rFonts w:ascii="Book Antiqua" w:eastAsia="Times New Roman" w:hAnsi="Book Antiqua"/>
          <w:b/>
          <w:bCs/>
          <w:color w:val="000000"/>
        </w:rPr>
      </w:pPr>
      <w:r w:rsidRPr="00AD3BA4">
        <w:rPr>
          <w:rFonts w:ascii="Book Antiqua" w:eastAsia="Times New Roman" w:hAnsi="Book Antiqua"/>
          <w:b/>
          <w:bCs/>
          <w:color w:val="000000"/>
        </w:rPr>
        <w:t>provide computation for the rate of Rs. 4.15/kWh</w:t>
      </w:r>
    </w:p>
    <w:p w:rsidR="002F2E28" w:rsidRPr="00AD3BA4" w:rsidRDefault="002F2E28" w:rsidP="005C597E">
      <w:pPr>
        <w:spacing w:after="240"/>
        <w:ind w:left="426"/>
        <w:jc w:val="both"/>
        <w:rPr>
          <w:rFonts w:ascii="Book Antiqua" w:eastAsia="Times New Roman" w:hAnsi="Book Antiqua"/>
          <w:b/>
          <w:bCs/>
          <w:color w:val="000000"/>
        </w:rPr>
      </w:pPr>
      <w:r w:rsidRPr="00AD3BA4">
        <w:rPr>
          <w:rFonts w:ascii="Book Antiqua" w:eastAsia="Times New Roman" w:hAnsi="Book Antiqua"/>
          <w:b/>
          <w:bCs/>
          <w:color w:val="000000"/>
        </w:rPr>
        <w:t>Compliance:</w:t>
      </w:r>
      <w:r w:rsidR="002809F1" w:rsidRPr="00AD3BA4">
        <w:rPr>
          <w:rFonts w:ascii="Book Antiqua" w:eastAsia="Times New Roman" w:hAnsi="Book Antiqua"/>
          <w:b/>
          <w:bCs/>
          <w:color w:val="000000"/>
        </w:rPr>
        <w:t xml:space="preserve"> -</w:t>
      </w:r>
    </w:p>
    <w:p w:rsidR="002F2E28" w:rsidRPr="007D4215" w:rsidRDefault="002F2E28" w:rsidP="002F2E28">
      <w:pPr>
        <w:spacing w:after="240"/>
        <w:ind w:left="709"/>
        <w:jc w:val="both"/>
        <w:rPr>
          <w:rFonts w:ascii="Book Antiqua" w:eastAsia="Times New Roman" w:hAnsi="Book Antiqua"/>
          <w:color w:val="000000"/>
        </w:rPr>
      </w:pPr>
      <w:r w:rsidRPr="007D4215">
        <w:rPr>
          <w:rFonts w:ascii="Book Antiqua" w:eastAsia="Times New Roman" w:hAnsi="Book Antiqua"/>
          <w:color w:val="000000"/>
        </w:rPr>
        <w:t>The Petitioner has computed average power purchase cost as follows:</w:t>
      </w:r>
    </w:p>
    <w:tbl>
      <w:tblPr>
        <w:tblStyle w:val="TableGrid"/>
        <w:tblW w:w="8873" w:type="dxa"/>
        <w:tblInd w:w="704" w:type="dxa"/>
        <w:tblLook w:val="04A0"/>
      </w:tblPr>
      <w:tblGrid>
        <w:gridCol w:w="3178"/>
        <w:gridCol w:w="1664"/>
        <w:gridCol w:w="1247"/>
        <w:gridCol w:w="1334"/>
        <w:gridCol w:w="1450"/>
      </w:tblGrid>
      <w:tr w:rsidR="002F2E28" w:rsidRPr="00AD3BA4" w:rsidTr="005C597E">
        <w:trPr>
          <w:trHeight w:val="496"/>
        </w:trPr>
        <w:tc>
          <w:tcPr>
            <w:tcW w:w="3178" w:type="dxa"/>
            <w:shd w:val="clear" w:color="auto" w:fill="FABF8F" w:themeFill="accent6" w:themeFillTint="99"/>
            <w:vAlign w:val="center"/>
          </w:tcPr>
          <w:p w:rsidR="002F2E28" w:rsidRPr="00AD3BA4" w:rsidRDefault="002F2E28" w:rsidP="002F2E28">
            <w:pPr>
              <w:jc w:val="center"/>
              <w:rPr>
                <w:rFonts w:ascii="Book Antiqua" w:hAnsi="Book Antiqua"/>
                <w:b/>
                <w:bCs/>
                <w:lang w:val="en-GB"/>
              </w:rPr>
            </w:pPr>
            <w:r w:rsidRPr="00AD3BA4">
              <w:rPr>
                <w:rFonts w:ascii="Book Antiqua" w:hAnsi="Book Antiqua"/>
                <w:b/>
                <w:bCs/>
                <w:lang w:val="en-GB"/>
              </w:rPr>
              <w:t>Particulars</w:t>
            </w:r>
          </w:p>
        </w:tc>
        <w:tc>
          <w:tcPr>
            <w:tcW w:w="1664" w:type="dxa"/>
            <w:shd w:val="clear" w:color="auto" w:fill="FABF8F" w:themeFill="accent6" w:themeFillTint="99"/>
            <w:vAlign w:val="center"/>
          </w:tcPr>
          <w:p w:rsidR="002F2E28" w:rsidRPr="00AD3BA4" w:rsidRDefault="002F2E28" w:rsidP="002F2E28">
            <w:pPr>
              <w:jc w:val="center"/>
              <w:rPr>
                <w:rFonts w:ascii="Book Antiqua" w:hAnsi="Book Antiqua"/>
                <w:b/>
                <w:bCs/>
                <w:lang w:val="en-GB"/>
              </w:rPr>
            </w:pPr>
            <w:r w:rsidRPr="00AD3BA4">
              <w:rPr>
                <w:rFonts w:ascii="Book Antiqua" w:hAnsi="Book Antiqua"/>
                <w:b/>
                <w:bCs/>
                <w:lang w:val="en-GB"/>
              </w:rPr>
              <w:t>Amount</w:t>
            </w:r>
          </w:p>
        </w:tc>
        <w:tc>
          <w:tcPr>
            <w:tcW w:w="1247" w:type="dxa"/>
            <w:shd w:val="clear" w:color="auto" w:fill="FABF8F" w:themeFill="accent6" w:themeFillTint="99"/>
            <w:vAlign w:val="center"/>
          </w:tcPr>
          <w:p w:rsidR="002F2E28" w:rsidRPr="00AD3BA4" w:rsidRDefault="002F2E28" w:rsidP="002F2E28">
            <w:pPr>
              <w:jc w:val="center"/>
              <w:rPr>
                <w:rFonts w:ascii="Book Antiqua" w:hAnsi="Book Antiqua"/>
                <w:b/>
                <w:bCs/>
                <w:lang w:val="en-GB"/>
              </w:rPr>
            </w:pPr>
            <w:r w:rsidRPr="00AD3BA4">
              <w:rPr>
                <w:rFonts w:ascii="Book Antiqua" w:hAnsi="Book Antiqua"/>
                <w:b/>
                <w:bCs/>
                <w:lang w:val="en-GB"/>
              </w:rPr>
              <w:t>Unit</w:t>
            </w:r>
          </w:p>
        </w:tc>
        <w:tc>
          <w:tcPr>
            <w:tcW w:w="1334" w:type="dxa"/>
            <w:shd w:val="clear" w:color="auto" w:fill="FABF8F" w:themeFill="accent6" w:themeFillTint="99"/>
            <w:vAlign w:val="center"/>
          </w:tcPr>
          <w:p w:rsidR="002F2E28" w:rsidRPr="00AD3BA4" w:rsidRDefault="002F2E28" w:rsidP="002F2E28">
            <w:pPr>
              <w:jc w:val="center"/>
              <w:rPr>
                <w:rFonts w:ascii="Book Antiqua" w:hAnsi="Book Antiqua"/>
                <w:b/>
                <w:bCs/>
                <w:lang w:val="en-GB"/>
              </w:rPr>
            </w:pPr>
            <w:r w:rsidRPr="00AD3BA4">
              <w:rPr>
                <w:rFonts w:ascii="Book Antiqua" w:hAnsi="Book Antiqua"/>
                <w:b/>
                <w:bCs/>
                <w:lang w:val="en-GB"/>
              </w:rPr>
              <w:t>Formula</w:t>
            </w:r>
          </w:p>
        </w:tc>
        <w:tc>
          <w:tcPr>
            <w:tcW w:w="1450" w:type="dxa"/>
            <w:shd w:val="clear" w:color="auto" w:fill="FABF8F" w:themeFill="accent6" w:themeFillTint="99"/>
            <w:vAlign w:val="center"/>
          </w:tcPr>
          <w:p w:rsidR="002F2E28" w:rsidRPr="00AD3BA4" w:rsidRDefault="002F2E28" w:rsidP="002F2E28">
            <w:pPr>
              <w:jc w:val="center"/>
              <w:rPr>
                <w:rFonts w:ascii="Book Antiqua" w:hAnsi="Book Antiqua"/>
                <w:b/>
                <w:bCs/>
                <w:lang w:val="en-GB"/>
              </w:rPr>
            </w:pPr>
            <w:r w:rsidRPr="00AD3BA4">
              <w:rPr>
                <w:rFonts w:ascii="Book Antiqua" w:hAnsi="Book Antiqua"/>
                <w:b/>
                <w:bCs/>
                <w:lang w:val="en-GB"/>
              </w:rPr>
              <w:t>Reference in Petition</w:t>
            </w:r>
          </w:p>
        </w:tc>
      </w:tr>
      <w:tr w:rsidR="002F2E28" w:rsidRPr="00AD3BA4" w:rsidTr="005C597E">
        <w:trPr>
          <w:trHeight w:val="326"/>
        </w:trPr>
        <w:tc>
          <w:tcPr>
            <w:tcW w:w="3178" w:type="dxa"/>
          </w:tcPr>
          <w:p w:rsidR="002F2E28" w:rsidRPr="00AD3BA4" w:rsidRDefault="002F2E28" w:rsidP="002F2E28">
            <w:pPr>
              <w:spacing w:line="312" w:lineRule="auto"/>
              <w:jc w:val="both"/>
              <w:rPr>
                <w:rFonts w:ascii="Book Antiqua" w:hAnsi="Book Antiqua"/>
                <w:lang w:val="en-GB"/>
              </w:rPr>
            </w:pPr>
            <w:r w:rsidRPr="00AD3BA4">
              <w:rPr>
                <w:rFonts w:ascii="Book Antiqua" w:hAnsi="Book Antiqua"/>
                <w:lang w:val="en-GB"/>
              </w:rPr>
              <w:t>Cost of Power Purchase</w:t>
            </w:r>
          </w:p>
        </w:tc>
        <w:tc>
          <w:tcPr>
            <w:tcW w:w="1664" w:type="dxa"/>
          </w:tcPr>
          <w:p w:rsidR="002F2E28" w:rsidRPr="00AD3BA4" w:rsidRDefault="002F2E28" w:rsidP="002F2E28">
            <w:pPr>
              <w:spacing w:line="312" w:lineRule="auto"/>
              <w:jc w:val="center"/>
              <w:rPr>
                <w:rFonts w:ascii="Book Antiqua" w:hAnsi="Book Antiqua"/>
                <w:lang w:val="en-GB"/>
              </w:rPr>
            </w:pPr>
            <w:r w:rsidRPr="00AD3BA4">
              <w:rPr>
                <w:rFonts w:ascii="Book Antiqua" w:hAnsi="Book Antiqua"/>
                <w:lang w:val="en-GB"/>
              </w:rPr>
              <w:t>11,113.87</w:t>
            </w:r>
          </w:p>
        </w:tc>
        <w:tc>
          <w:tcPr>
            <w:tcW w:w="1247" w:type="dxa"/>
          </w:tcPr>
          <w:p w:rsidR="002F2E28" w:rsidRPr="00AD3BA4" w:rsidRDefault="002F2E28" w:rsidP="002F2E28">
            <w:pPr>
              <w:spacing w:line="312" w:lineRule="auto"/>
              <w:jc w:val="both"/>
              <w:rPr>
                <w:rFonts w:ascii="Book Antiqua" w:hAnsi="Book Antiqua"/>
                <w:lang w:val="en-GB"/>
              </w:rPr>
            </w:pPr>
            <w:r w:rsidRPr="00AD3BA4">
              <w:rPr>
                <w:rFonts w:ascii="Book Antiqua" w:hAnsi="Book Antiqua"/>
                <w:lang w:val="en-GB"/>
              </w:rPr>
              <w:t>Rs. Crore</w:t>
            </w:r>
          </w:p>
        </w:tc>
        <w:tc>
          <w:tcPr>
            <w:tcW w:w="1334" w:type="dxa"/>
          </w:tcPr>
          <w:p w:rsidR="002F2E28" w:rsidRPr="00AD3BA4" w:rsidRDefault="002F2E28" w:rsidP="002F2E28">
            <w:pPr>
              <w:spacing w:line="312" w:lineRule="auto"/>
              <w:jc w:val="both"/>
              <w:rPr>
                <w:rFonts w:ascii="Book Antiqua" w:hAnsi="Book Antiqua"/>
                <w:lang w:val="en-GB"/>
              </w:rPr>
            </w:pPr>
            <w:r w:rsidRPr="00AD3BA4">
              <w:rPr>
                <w:rFonts w:ascii="Book Antiqua" w:hAnsi="Book Antiqua"/>
                <w:lang w:val="en-GB"/>
              </w:rPr>
              <w:t>A</w:t>
            </w:r>
          </w:p>
        </w:tc>
        <w:tc>
          <w:tcPr>
            <w:tcW w:w="1450" w:type="dxa"/>
          </w:tcPr>
          <w:p w:rsidR="002F2E28" w:rsidRPr="00AD3BA4" w:rsidRDefault="002F2E28" w:rsidP="002F2E28">
            <w:pPr>
              <w:spacing w:line="312" w:lineRule="auto"/>
              <w:jc w:val="both"/>
              <w:rPr>
                <w:rFonts w:ascii="Book Antiqua" w:hAnsi="Book Antiqua"/>
                <w:lang w:val="en-GB"/>
              </w:rPr>
            </w:pPr>
            <w:r w:rsidRPr="00AD3BA4">
              <w:rPr>
                <w:rFonts w:ascii="Book Antiqua" w:hAnsi="Book Antiqua"/>
                <w:lang w:val="en-GB"/>
              </w:rPr>
              <w:t xml:space="preserve">Table 10 </w:t>
            </w:r>
          </w:p>
        </w:tc>
      </w:tr>
      <w:tr w:rsidR="002F2E28" w:rsidRPr="00AD3BA4" w:rsidTr="005C597E">
        <w:trPr>
          <w:trHeight w:val="312"/>
        </w:trPr>
        <w:tc>
          <w:tcPr>
            <w:tcW w:w="3178" w:type="dxa"/>
          </w:tcPr>
          <w:p w:rsidR="002F2E28" w:rsidRPr="00AD3BA4" w:rsidRDefault="002F2E28" w:rsidP="002F2E28">
            <w:pPr>
              <w:spacing w:line="312" w:lineRule="auto"/>
              <w:jc w:val="both"/>
              <w:rPr>
                <w:rFonts w:ascii="Book Antiqua" w:hAnsi="Book Antiqua"/>
                <w:lang w:val="en-GB"/>
              </w:rPr>
            </w:pPr>
            <w:r w:rsidRPr="00AD3BA4">
              <w:rPr>
                <w:rFonts w:ascii="Book Antiqua" w:hAnsi="Book Antiqua"/>
                <w:lang w:val="en-GB"/>
              </w:rPr>
              <w:t>Total Energy Requirement</w:t>
            </w:r>
          </w:p>
        </w:tc>
        <w:tc>
          <w:tcPr>
            <w:tcW w:w="1664" w:type="dxa"/>
          </w:tcPr>
          <w:p w:rsidR="002F2E28" w:rsidRPr="00AD3BA4" w:rsidRDefault="002F2E28" w:rsidP="002F2E28">
            <w:pPr>
              <w:spacing w:line="312" w:lineRule="auto"/>
              <w:jc w:val="center"/>
              <w:rPr>
                <w:rFonts w:ascii="Book Antiqua" w:hAnsi="Book Antiqua"/>
                <w:lang w:val="en-GB"/>
              </w:rPr>
            </w:pPr>
            <w:r w:rsidRPr="00AD3BA4">
              <w:rPr>
                <w:rFonts w:ascii="Book Antiqua" w:hAnsi="Book Antiqua"/>
                <w:lang w:val="en-GB"/>
              </w:rPr>
              <w:t>26,762</w:t>
            </w:r>
          </w:p>
        </w:tc>
        <w:tc>
          <w:tcPr>
            <w:tcW w:w="1247" w:type="dxa"/>
          </w:tcPr>
          <w:p w:rsidR="002F2E28" w:rsidRPr="00AD3BA4" w:rsidRDefault="002F2E28" w:rsidP="002F2E28">
            <w:pPr>
              <w:spacing w:line="312" w:lineRule="auto"/>
              <w:jc w:val="both"/>
              <w:rPr>
                <w:rFonts w:ascii="Book Antiqua" w:hAnsi="Book Antiqua"/>
                <w:lang w:val="en-GB"/>
              </w:rPr>
            </w:pPr>
            <w:r w:rsidRPr="00AD3BA4">
              <w:rPr>
                <w:rFonts w:ascii="Book Antiqua" w:hAnsi="Book Antiqua"/>
                <w:lang w:val="en-GB"/>
              </w:rPr>
              <w:t>MU</w:t>
            </w:r>
          </w:p>
        </w:tc>
        <w:tc>
          <w:tcPr>
            <w:tcW w:w="1334" w:type="dxa"/>
          </w:tcPr>
          <w:p w:rsidR="002F2E28" w:rsidRPr="00AD3BA4" w:rsidRDefault="002F2E28" w:rsidP="002F2E28">
            <w:pPr>
              <w:spacing w:line="312" w:lineRule="auto"/>
              <w:jc w:val="both"/>
              <w:rPr>
                <w:rFonts w:ascii="Book Antiqua" w:hAnsi="Book Antiqua"/>
                <w:lang w:val="en-GB"/>
              </w:rPr>
            </w:pPr>
            <w:r w:rsidRPr="00AD3BA4">
              <w:rPr>
                <w:rFonts w:ascii="Book Antiqua" w:hAnsi="Book Antiqua"/>
                <w:lang w:val="en-GB"/>
              </w:rPr>
              <w:t>B</w:t>
            </w:r>
          </w:p>
        </w:tc>
        <w:tc>
          <w:tcPr>
            <w:tcW w:w="1450" w:type="dxa"/>
          </w:tcPr>
          <w:p w:rsidR="002F2E28" w:rsidRPr="00AD3BA4" w:rsidRDefault="002F2E28" w:rsidP="002F2E28">
            <w:pPr>
              <w:spacing w:line="312" w:lineRule="auto"/>
              <w:jc w:val="both"/>
              <w:rPr>
                <w:rFonts w:ascii="Book Antiqua" w:hAnsi="Book Antiqua"/>
                <w:lang w:val="en-GB"/>
              </w:rPr>
            </w:pPr>
            <w:r w:rsidRPr="00AD3BA4">
              <w:rPr>
                <w:rFonts w:ascii="Book Antiqua" w:hAnsi="Book Antiqua"/>
                <w:lang w:val="en-GB"/>
              </w:rPr>
              <w:t>Table 9</w:t>
            </w:r>
          </w:p>
        </w:tc>
      </w:tr>
      <w:tr w:rsidR="002F2E28" w:rsidRPr="00AD3BA4" w:rsidTr="005C597E">
        <w:trPr>
          <w:trHeight w:val="312"/>
        </w:trPr>
        <w:tc>
          <w:tcPr>
            <w:tcW w:w="3178" w:type="dxa"/>
          </w:tcPr>
          <w:p w:rsidR="002F2E28" w:rsidRPr="00AD3BA4" w:rsidRDefault="002F2E28" w:rsidP="002F2E28">
            <w:pPr>
              <w:spacing w:line="312" w:lineRule="auto"/>
              <w:jc w:val="both"/>
              <w:rPr>
                <w:rFonts w:ascii="Book Antiqua" w:hAnsi="Book Antiqua"/>
                <w:lang w:val="en-GB"/>
              </w:rPr>
            </w:pPr>
            <w:r w:rsidRPr="00AD3BA4">
              <w:rPr>
                <w:rFonts w:ascii="Book Antiqua" w:hAnsi="Book Antiqua"/>
                <w:lang w:val="en-GB"/>
              </w:rPr>
              <w:t>Avg. power purchase cost</w:t>
            </w:r>
          </w:p>
        </w:tc>
        <w:tc>
          <w:tcPr>
            <w:tcW w:w="1664" w:type="dxa"/>
          </w:tcPr>
          <w:p w:rsidR="002F2E28" w:rsidRPr="00AD3BA4" w:rsidRDefault="002F2E28" w:rsidP="002F2E28">
            <w:pPr>
              <w:spacing w:line="312" w:lineRule="auto"/>
              <w:jc w:val="center"/>
              <w:rPr>
                <w:rFonts w:ascii="Book Antiqua" w:hAnsi="Book Antiqua"/>
                <w:lang w:val="en-GB"/>
              </w:rPr>
            </w:pPr>
            <w:r w:rsidRPr="00AD3BA4">
              <w:rPr>
                <w:rFonts w:ascii="Book Antiqua" w:hAnsi="Book Antiqua"/>
                <w:lang w:val="en-GB"/>
              </w:rPr>
              <w:t>4.15</w:t>
            </w:r>
          </w:p>
        </w:tc>
        <w:tc>
          <w:tcPr>
            <w:tcW w:w="1247" w:type="dxa"/>
          </w:tcPr>
          <w:p w:rsidR="002F2E28" w:rsidRPr="00AD3BA4" w:rsidRDefault="002F2E28" w:rsidP="002F2E28">
            <w:pPr>
              <w:spacing w:line="312" w:lineRule="auto"/>
              <w:jc w:val="both"/>
              <w:rPr>
                <w:rFonts w:ascii="Book Antiqua" w:hAnsi="Book Antiqua"/>
                <w:lang w:val="en-GB"/>
              </w:rPr>
            </w:pPr>
            <w:r w:rsidRPr="00AD3BA4">
              <w:rPr>
                <w:rFonts w:ascii="Book Antiqua" w:hAnsi="Book Antiqua"/>
                <w:lang w:val="en-GB"/>
              </w:rPr>
              <w:t>Rs./kWh</w:t>
            </w:r>
          </w:p>
        </w:tc>
        <w:tc>
          <w:tcPr>
            <w:tcW w:w="1334" w:type="dxa"/>
          </w:tcPr>
          <w:p w:rsidR="002F2E28" w:rsidRPr="00AD3BA4" w:rsidRDefault="002F2E28" w:rsidP="002F2E28">
            <w:pPr>
              <w:spacing w:line="312" w:lineRule="auto"/>
              <w:jc w:val="both"/>
              <w:rPr>
                <w:rFonts w:ascii="Book Antiqua" w:hAnsi="Book Antiqua"/>
                <w:lang w:val="en-GB"/>
              </w:rPr>
            </w:pPr>
            <w:r w:rsidRPr="00AD3BA4">
              <w:rPr>
                <w:rFonts w:ascii="Book Antiqua" w:hAnsi="Book Antiqua"/>
                <w:lang w:val="en-GB"/>
              </w:rPr>
              <w:t>C=A/B*10</w:t>
            </w:r>
          </w:p>
        </w:tc>
        <w:tc>
          <w:tcPr>
            <w:tcW w:w="1450" w:type="dxa"/>
          </w:tcPr>
          <w:p w:rsidR="002F2E28" w:rsidRPr="00AD3BA4" w:rsidRDefault="002F2E28" w:rsidP="002F2E28">
            <w:pPr>
              <w:spacing w:line="312" w:lineRule="auto"/>
              <w:jc w:val="both"/>
              <w:rPr>
                <w:rFonts w:ascii="Book Antiqua" w:hAnsi="Book Antiqua"/>
                <w:lang w:val="en-GB"/>
              </w:rPr>
            </w:pPr>
          </w:p>
        </w:tc>
      </w:tr>
    </w:tbl>
    <w:p w:rsidR="002F2E28" w:rsidRDefault="002F2E28" w:rsidP="005C597E">
      <w:pPr>
        <w:spacing w:after="240" w:line="276" w:lineRule="auto"/>
        <w:jc w:val="both"/>
        <w:rPr>
          <w:rFonts w:eastAsia="Times New Roman"/>
          <w:color w:val="000000"/>
        </w:rPr>
      </w:pPr>
    </w:p>
    <w:p w:rsidR="00D20D68" w:rsidRPr="00AD3BA4" w:rsidRDefault="00D20D68" w:rsidP="002E5E0B">
      <w:pPr>
        <w:numPr>
          <w:ilvl w:val="1"/>
          <w:numId w:val="5"/>
        </w:numPr>
        <w:spacing w:after="240" w:line="276" w:lineRule="auto"/>
        <w:jc w:val="both"/>
        <w:rPr>
          <w:rFonts w:eastAsia="Times New Roman"/>
          <w:b/>
          <w:bCs/>
          <w:color w:val="000000"/>
        </w:rPr>
      </w:pPr>
      <w:r w:rsidRPr="00AD3BA4">
        <w:rPr>
          <w:rFonts w:ascii="Book Antiqua" w:eastAsia="Times New Roman" w:hAnsi="Book Antiqua"/>
          <w:b/>
          <w:bCs/>
          <w:color w:val="000000"/>
        </w:rPr>
        <w:lastRenderedPageBreak/>
        <w:t>Explain the difference with the average rate of Rs. 4.54/kWh worked out from Form F2 submitted by UGVCL, i.e., total power purchase cost of Rs. 44763 crore for purchase of 98688 MU.</w:t>
      </w:r>
    </w:p>
    <w:p w:rsidR="00386A49" w:rsidRPr="003250A8" w:rsidRDefault="00386A49" w:rsidP="007D4215">
      <w:pPr>
        <w:spacing w:after="240"/>
        <w:ind w:left="284"/>
        <w:jc w:val="both"/>
        <w:rPr>
          <w:rFonts w:ascii="Book Antiqua" w:eastAsia="Times New Roman" w:hAnsi="Book Antiqua"/>
          <w:b/>
          <w:bCs/>
          <w:color w:val="000000"/>
        </w:rPr>
      </w:pPr>
      <w:r w:rsidRPr="003250A8">
        <w:rPr>
          <w:rFonts w:ascii="Book Antiqua" w:eastAsia="Times New Roman" w:hAnsi="Book Antiqua"/>
          <w:b/>
          <w:bCs/>
          <w:color w:val="000000"/>
        </w:rPr>
        <w:t>Compliance: -</w:t>
      </w:r>
    </w:p>
    <w:p w:rsidR="00B547E7" w:rsidRPr="005C597E" w:rsidRDefault="00B547E7" w:rsidP="005C597E">
      <w:pPr>
        <w:spacing w:after="240" w:line="276" w:lineRule="auto"/>
        <w:ind w:left="709"/>
        <w:jc w:val="both"/>
        <w:rPr>
          <w:rFonts w:ascii="Book Antiqua" w:eastAsia="Times New Roman" w:hAnsi="Book Antiqua"/>
          <w:color w:val="000000"/>
        </w:rPr>
      </w:pPr>
      <w:r w:rsidRPr="005C597E">
        <w:rPr>
          <w:rFonts w:ascii="Book Antiqua" w:eastAsia="Times New Roman" w:hAnsi="Book Antiqua"/>
          <w:color w:val="000000"/>
        </w:rPr>
        <w:t>After unbundling of Gujarat Electricity Board, Gujarat Urja Vikas Nigam Limited (GUVNL), which is holding company of all 4 state distribution companies, does bulk power purchase of electricity and sale to four discoms. Form 2 submitted along with the Petition contains power purchase by GUVNL, not by the Petitioner alone. Average power purchase cost computed above corresponds to allocated power purchase cost of the Petitioner out of overall cost of power purchase of GUVNL. Therefore, avg. power purchase cost in Form F2 cannot be compared to that submitted in Table 11.</w:t>
      </w:r>
    </w:p>
    <w:p w:rsidR="00D20D68" w:rsidRPr="00AD3BA4" w:rsidRDefault="00D20D68">
      <w:pPr>
        <w:numPr>
          <w:ilvl w:val="0"/>
          <w:numId w:val="5"/>
        </w:numPr>
        <w:spacing w:after="240" w:line="276" w:lineRule="auto"/>
        <w:ind w:left="630"/>
        <w:jc w:val="both"/>
        <w:rPr>
          <w:b/>
          <w:bCs/>
          <w:color w:val="000000"/>
        </w:rPr>
      </w:pPr>
      <w:r w:rsidRPr="00AD3BA4">
        <w:rPr>
          <w:rFonts w:ascii="Book Antiqua" w:hAnsi="Book Antiqua"/>
          <w:b/>
          <w:bCs/>
          <w:color w:val="000000"/>
        </w:rPr>
        <w:t>UGVCL should explain reasons for incurring capex against schemes that were not approved by the Commission for FY 2018-19 (SKJY, etc.) as seen in Table 13 of the Petition.</w:t>
      </w:r>
    </w:p>
    <w:p w:rsidR="00A20677" w:rsidRPr="003250A8" w:rsidRDefault="00A20677" w:rsidP="007D4215">
      <w:pPr>
        <w:spacing w:after="240"/>
        <w:jc w:val="both"/>
        <w:rPr>
          <w:rFonts w:ascii="Book Antiqua" w:eastAsia="Times New Roman" w:hAnsi="Book Antiqua"/>
          <w:b/>
          <w:bCs/>
          <w:color w:val="000000"/>
        </w:rPr>
      </w:pPr>
      <w:r w:rsidRPr="003250A8">
        <w:rPr>
          <w:rFonts w:ascii="Book Antiqua" w:eastAsia="Times New Roman" w:hAnsi="Book Antiqua"/>
          <w:b/>
          <w:bCs/>
          <w:color w:val="000000"/>
        </w:rPr>
        <w:t>Compliance: -</w:t>
      </w:r>
    </w:p>
    <w:p w:rsidR="00132FD9" w:rsidRPr="005C597E" w:rsidRDefault="006169D2" w:rsidP="005C597E">
      <w:pPr>
        <w:spacing w:after="240" w:line="276" w:lineRule="auto"/>
        <w:ind w:left="709"/>
        <w:jc w:val="both"/>
        <w:rPr>
          <w:rFonts w:ascii="Book Antiqua" w:hAnsi="Book Antiqua"/>
          <w:color w:val="000000"/>
        </w:rPr>
      </w:pPr>
      <w:r w:rsidRPr="006169D2">
        <w:rPr>
          <w:rFonts w:ascii="Book Antiqua" w:hAnsi="Book Antiqua"/>
          <w:color w:val="000000"/>
        </w:rPr>
        <w:t xml:space="preserve">Sardar KrushiJyotiYojana launched by Govt. of Gujarat for Rural Agricultural </w:t>
      </w:r>
      <w:r w:rsidRPr="003250A8">
        <w:rPr>
          <w:rFonts w:ascii="Book Antiqua" w:hAnsi="Book Antiqua"/>
          <w:color w:val="000000"/>
        </w:rPr>
        <w:t>sector to provide the uninterrupted power supply to Ag</w:t>
      </w:r>
      <w:r w:rsidR="00BF51EC">
        <w:rPr>
          <w:rFonts w:ascii="Book Antiqua" w:hAnsi="Book Antiqua"/>
          <w:color w:val="000000"/>
        </w:rPr>
        <w:t>ricultural</w:t>
      </w:r>
      <w:r w:rsidRPr="003250A8">
        <w:rPr>
          <w:rFonts w:ascii="Book Antiqua" w:hAnsi="Book Antiqua"/>
          <w:color w:val="000000"/>
        </w:rPr>
        <w:t xml:space="preserve"> Consumers, the replacement of det</w:t>
      </w:r>
      <w:r w:rsidR="00AD3BA4" w:rsidRPr="003250A8">
        <w:rPr>
          <w:rFonts w:ascii="Book Antiqua" w:hAnsi="Book Antiqua"/>
          <w:color w:val="000000"/>
        </w:rPr>
        <w:t>eri</w:t>
      </w:r>
      <w:r w:rsidRPr="003250A8">
        <w:rPr>
          <w:rFonts w:ascii="Book Antiqua" w:hAnsi="Book Antiqua"/>
          <w:color w:val="000000"/>
        </w:rPr>
        <w:t xml:space="preserve">orated conductor of Agricultural </w:t>
      </w:r>
      <w:r w:rsidR="00AD3BA4" w:rsidRPr="003250A8">
        <w:rPr>
          <w:rFonts w:ascii="Book Antiqua" w:hAnsi="Book Antiqua"/>
          <w:color w:val="000000"/>
        </w:rPr>
        <w:t xml:space="preserve">feeders, </w:t>
      </w:r>
      <w:r w:rsidRPr="003250A8">
        <w:rPr>
          <w:rFonts w:ascii="Book Antiqua" w:hAnsi="Book Antiqua"/>
          <w:color w:val="000000"/>
        </w:rPr>
        <w:t>replacement of det</w:t>
      </w:r>
      <w:r w:rsidR="00AD3BA4" w:rsidRPr="003250A8">
        <w:rPr>
          <w:rFonts w:ascii="Book Antiqua" w:hAnsi="Book Antiqua"/>
          <w:color w:val="000000"/>
        </w:rPr>
        <w:t>eri</w:t>
      </w:r>
      <w:r w:rsidRPr="003250A8">
        <w:rPr>
          <w:rFonts w:ascii="Book Antiqua" w:hAnsi="Book Antiqua"/>
          <w:color w:val="000000"/>
        </w:rPr>
        <w:t xml:space="preserve">orated poles &amp; their related work was proposed. The Govt. of Gujarat has approved Rs. 100 Crore </w:t>
      </w:r>
      <w:r w:rsidR="00B377ED" w:rsidRPr="003250A8">
        <w:rPr>
          <w:rFonts w:ascii="Book Antiqua" w:hAnsi="Book Antiqua"/>
          <w:color w:val="000000"/>
        </w:rPr>
        <w:t xml:space="preserve">against the scheme </w:t>
      </w:r>
      <w:r w:rsidR="003250A8" w:rsidRPr="003250A8">
        <w:rPr>
          <w:rFonts w:ascii="Book Antiqua" w:hAnsi="Book Antiqua"/>
          <w:color w:val="000000"/>
        </w:rPr>
        <w:t>in</w:t>
      </w:r>
      <w:r w:rsidRPr="003250A8">
        <w:rPr>
          <w:rFonts w:ascii="Book Antiqua" w:hAnsi="Book Antiqua"/>
          <w:color w:val="000000"/>
        </w:rPr>
        <w:t xml:space="preserve"> FY 2017-18. </w:t>
      </w:r>
      <w:r w:rsidR="003250A8">
        <w:rPr>
          <w:rFonts w:ascii="Book Antiqua" w:hAnsi="Book Antiqua"/>
          <w:color w:val="000000"/>
        </w:rPr>
        <w:t xml:space="preserve">Further, </w:t>
      </w:r>
      <w:r w:rsidRPr="003250A8">
        <w:rPr>
          <w:rFonts w:ascii="Book Antiqua" w:hAnsi="Book Antiqua"/>
          <w:color w:val="000000"/>
        </w:rPr>
        <w:t xml:space="preserve">Discom wise budgetary provision </w:t>
      </w:r>
      <w:r w:rsidR="00BF51EC">
        <w:rPr>
          <w:rFonts w:ascii="Book Antiqua" w:hAnsi="Book Antiqua"/>
          <w:color w:val="000000"/>
        </w:rPr>
        <w:t xml:space="preserve">was </w:t>
      </w:r>
      <w:r w:rsidR="003250A8">
        <w:rPr>
          <w:rFonts w:ascii="Book Antiqua" w:hAnsi="Book Antiqua"/>
          <w:color w:val="000000"/>
        </w:rPr>
        <w:t xml:space="preserve">allocated by </w:t>
      </w:r>
      <w:r w:rsidRPr="003250A8">
        <w:rPr>
          <w:rFonts w:ascii="Book Antiqua" w:hAnsi="Book Antiqua"/>
          <w:color w:val="000000"/>
        </w:rPr>
        <w:t>GUVNL</w:t>
      </w:r>
      <w:r w:rsidR="00BF51EC">
        <w:rPr>
          <w:rFonts w:ascii="Book Antiqua" w:hAnsi="Book Antiqua"/>
          <w:color w:val="000000"/>
        </w:rPr>
        <w:t>,</w:t>
      </w:r>
      <w:r w:rsidRPr="003250A8">
        <w:rPr>
          <w:rFonts w:ascii="Book Antiqua" w:hAnsi="Book Antiqua"/>
          <w:color w:val="000000"/>
        </w:rPr>
        <w:t xml:space="preserve"> and UGVCL was given target of Rs.12</w:t>
      </w:r>
      <w:r w:rsidR="00B377ED" w:rsidRPr="003250A8">
        <w:rPr>
          <w:rFonts w:ascii="Book Antiqua" w:hAnsi="Book Antiqua"/>
          <w:color w:val="000000"/>
        </w:rPr>
        <w:t xml:space="preserve"> C</w:t>
      </w:r>
      <w:r w:rsidR="00BF51EC">
        <w:rPr>
          <w:rFonts w:ascii="Book Antiqua" w:hAnsi="Book Antiqua"/>
          <w:color w:val="000000"/>
        </w:rPr>
        <w:t>r</w:t>
      </w:r>
      <w:r w:rsidRPr="003250A8">
        <w:rPr>
          <w:rFonts w:ascii="Book Antiqua" w:hAnsi="Book Antiqua"/>
          <w:color w:val="000000"/>
        </w:rPr>
        <w:t>ore</w:t>
      </w:r>
      <w:r w:rsidR="00BF51EC">
        <w:rPr>
          <w:rFonts w:ascii="Book Antiqua" w:hAnsi="Book Antiqua"/>
          <w:color w:val="000000"/>
        </w:rPr>
        <w:t>for</w:t>
      </w:r>
      <w:r w:rsidR="003250A8">
        <w:rPr>
          <w:rFonts w:ascii="Book Antiqua" w:hAnsi="Book Antiqua"/>
          <w:color w:val="000000"/>
        </w:rPr>
        <w:t xml:space="preserve"> FY 2017-18</w:t>
      </w:r>
      <w:r w:rsidR="00BF51EC">
        <w:rPr>
          <w:rFonts w:ascii="Book Antiqua" w:hAnsi="Book Antiqua"/>
          <w:color w:val="000000"/>
        </w:rPr>
        <w:t xml:space="preserve"> and </w:t>
      </w:r>
      <w:r w:rsidRPr="003250A8">
        <w:rPr>
          <w:rFonts w:ascii="Book Antiqua" w:hAnsi="Book Antiqua"/>
          <w:color w:val="000000"/>
        </w:rPr>
        <w:t xml:space="preserve">Rs. 16.40 </w:t>
      </w:r>
      <w:r w:rsidR="00B377ED" w:rsidRPr="003250A8">
        <w:rPr>
          <w:rFonts w:ascii="Book Antiqua" w:hAnsi="Book Antiqua"/>
          <w:color w:val="000000"/>
        </w:rPr>
        <w:t>C</w:t>
      </w:r>
      <w:r w:rsidR="00BF51EC">
        <w:rPr>
          <w:rFonts w:ascii="Book Antiqua" w:hAnsi="Book Antiqua"/>
          <w:color w:val="000000"/>
        </w:rPr>
        <w:t>r</w:t>
      </w:r>
      <w:r w:rsidRPr="003250A8">
        <w:rPr>
          <w:rFonts w:ascii="Book Antiqua" w:hAnsi="Book Antiqua"/>
          <w:color w:val="000000"/>
        </w:rPr>
        <w:t xml:space="preserve">ore </w:t>
      </w:r>
      <w:r w:rsidR="00BF51EC">
        <w:rPr>
          <w:rFonts w:ascii="Book Antiqua" w:hAnsi="Book Antiqua"/>
          <w:color w:val="000000"/>
        </w:rPr>
        <w:t xml:space="preserve">for </w:t>
      </w:r>
      <w:r w:rsidR="00BF51EC" w:rsidRPr="003250A8">
        <w:rPr>
          <w:rFonts w:ascii="Book Antiqua" w:hAnsi="Book Antiqua"/>
          <w:color w:val="000000"/>
        </w:rPr>
        <w:t xml:space="preserve">FY 2018-19 </w:t>
      </w:r>
      <w:r w:rsidRPr="003250A8">
        <w:rPr>
          <w:rFonts w:ascii="Book Antiqua" w:hAnsi="Book Antiqua"/>
          <w:color w:val="000000"/>
        </w:rPr>
        <w:t>was allotted.</w:t>
      </w:r>
    </w:p>
    <w:p w:rsidR="00132FD9" w:rsidRPr="00B377ED" w:rsidRDefault="00B11C86" w:rsidP="00B377ED">
      <w:pPr>
        <w:spacing w:after="240" w:line="276" w:lineRule="auto"/>
        <w:ind w:left="709"/>
        <w:jc w:val="both"/>
        <w:rPr>
          <w:rFonts w:ascii="Book Antiqua" w:hAnsi="Book Antiqua"/>
          <w:color w:val="000000"/>
        </w:rPr>
      </w:pPr>
      <w:r>
        <w:rPr>
          <w:rFonts w:ascii="Book Antiqua" w:hAnsi="Book Antiqua"/>
          <w:color w:val="000000"/>
        </w:rPr>
        <w:t xml:space="preserve">In MYT Order </w:t>
      </w:r>
      <w:r w:rsidR="006169D2" w:rsidRPr="006169D2">
        <w:rPr>
          <w:rFonts w:ascii="Book Antiqua" w:hAnsi="Book Antiqua"/>
          <w:color w:val="000000"/>
        </w:rPr>
        <w:t>(Case No. 1622/2016)</w:t>
      </w:r>
      <w:r>
        <w:rPr>
          <w:rFonts w:ascii="Book Antiqua" w:hAnsi="Book Antiqua"/>
          <w:color w:val="000000"/>
        </w:rPr>
        <w:t xml:space="preserve">,the </w:t>
      </w:r>
      <w:r w:rsidR="006169D2" w:rsidRPr="006169D2">
        <w:rPr>
          <w:rFonts w:ascii="Book Antiqua" w:hAnsi="Book Antiqua"/>
          <w:color w:val="000000"/>
        </w:rPr>
        <w:t xml:space="preserve">Govt. of Gujarat had not directed for such scheme, </w:t>
      </w:r>
      <w:r>
        <w:rPr>
          <w:rFonts w:ascii="Book Antiqua" w:hAnsi="Book Antiqua"/>
          <w:color w:val="000000"/>
        </w:rPr>
        <w:t xml:space="preserve">hence same is </w:t>
      </w:r>
      <w:r w:rsidR="006169D2" w:rsidRPr="006169D2">
        <w:rPr>
          <w:rFonts w:ascii="Book Antiqua" w:hAnsi="Book Antiqua"/>
          <w:color w:val="000000"/>
        </w:rPr>
        <w:t xml:space="preserve">not </w:t>
      </w:r>
      <w:r>
        <w:rPr>
          <w:rFonts w:ascii="Book Antiqua" w:hAnsi="Book Antiqua"/>
          <w:color w:val="000000"/>
        </w:rPr>
        <w:t xml:space="preserve">been </w:t>
      </w:r>
      <w:r w:rsidR="006169D2" w:rsidRPr="006169D2">
        <w:rPr>
          <w:rFonts w:ascii="Book Antiqua" w:hAnsi="Book Antiqua"/>
          <w:color w:val="000000"/>
        </w:rPr>
        <w:t>included in the petition. Hence same was not approved by Hon’ble GERC at that time.</w:t>
      </w:r>
      <w:r w:rsidR="007F6029" w:rsidRPr="007F6029">
        <w:rPr>
          <w:rFonts w:ascii="Book Antiqua" w:hAnsi="Book Antiqua"/>
          <w:color w:val="000000"/>
        </w:rPr>
        <w:t>However, capital expenditure of said scheme was projected under Mid-term review petition and same was approved by Hon’ble Commission vide tariff order of dated 24</w:t>
      </w:r>
      <w:r w:rsidR="00BF51EC">
        <w:rPr>
          <w:rFonts w:ascii="Book Antiqua" w:hAnsi="Book Antiqua"/>
          <w:color w:val="000000"/>
        </w:rPr>
        <w:t xml:space="preserve"> April, </w:t>
      </w:r>
      <w:r w:rsidR="007F6029" w:rsidRPr="007F6029">
        <w:rPr>
          <w:rFonts w:ascii="Book Antiqua" w:hAnsi="Book Antiqua"/>
          <w:color w:val="000000"/>
        </w:rPr>
        <w:t>2019.</w:t>
      </w:r>
    </w:p>
    <w:p w:rsidR="00BF143B" w:rsidRPr="007F6029" w:rsidRDefault="00D20D68" w:rsidP="005C597E">
      <w:pPr>
        <w:numPr>
          <w:ilvl w:val="0"/>
          <w:numId w:val="5"/>
        </w:numPr>
        <w:spacing w:after="240" w:line="276" w:lineRule="auto"/>
        <w:ind w:left="630"/>
        <w:jc w:val="both"/>
        <w:rPr>
          <w:b/>
          <w:bCs/>
          <w:color w:val="000000"/>
        </w:rPr>
      </w:pPr>
      <w:r w:rsidRPr="007F6029">
        <w:rPr>
          <w:rFonts w:ascii="Book Antiqua" w:hAnsi="Book Antiqua"/>
          <w:b/>
          <w:bCs/>
          <w:color w:val="000000"/>
        </w:rPr>
        <w:t>As regards the capital expenditure incurred and capitalisation during FY 2018-19, UGVCL should submit the detailed reasons and justification for increase/(decrease) in cost of all schemes (against which capital expenditure is greater than Rs 10 crore) compared to approved scheme cost, with break-up into:</w:t>
      </w:r>
    </w:p>
    <w:p w:rsidR="00BF143B" w:rsidRPr="007F6029" w:rsidRDefault="00D20D68" w:rsidP="00BF143B">
      <w:pPr>
        <w:numPr>
          <w:ilvl w:val="1"/>
          <w:numId w:val="5"/>
        </w:numPr>
        <w:spacing w:after="240" w:line="276" w:lineRule="auto"/>
        <w:jc w:val="both"/>
        <w:rPr>
          <w:b/>
          <w:bCs/>
          <w:color w:val="000000"/>
        </w:rPr>
      </w:pPr>
      <w:r w:rsidRPr="007F6029">
        <w:rPr>
          <w:rFonts w:ascii="Book Antiqua" w:hAnsi="Book Antiqua"/>
          <w:b/>
          <w:bCs/>
          <w:color w:val="000000"/>
        </w:rPr>
        <w:t>Variation due to delay in execution of the project compared to approved timelines, and justification for the same</w:t>
      </w:r>
    </w:p>
    <w:p w:rsidR="00BF143B" w:rsidRPr="007F6029" w:rsidRDefault="00D20D68" w:rsidP="005C597E">
      <w:pPr>
        <w:numPr>
          <w:ilvl w:val="1"/>
          <w:numId w:val="5"/>
        </w:numPr>
        <w:spacing w:after="240" w:line="276" w:lineRule="auto"/>
        <w:jc w:val="both"/>
        <w:rPr>
          <w:b/>
          <w:bCs/>
          <w:color w:val="000000"/>
        </w:rPr>
      </w:pPr>
      <w:r w:rsidRPr="007F6029">
        <w:rPr>
          <w:rFonts w:ascii="Book Antiqua" w:hAnsi="Book Antiqua"/>
          <w:b/>
          <w:bCs/>
          <w:color w:val="000000"/>
        </w:rPr>
        <w:t>Variation due to change in scope of work, and justification for the same.</w:t>
      </w:r>
    </w:p>
    <w:p w:rsidR="00582307" w:rsidRPr="005C597E" w:rsidRDefault="00D20D68" w:rsidP="00582307">
      <w:pPr>
        <w:numPr>
          <w:ilvl w:val="1"/>
          <w:numId w:val="5"/>
        </w:numPr>
        <w:spacing w:after="240" w:line="276" w:lineRule="auto"/>
        <w:jc w:val="both"/>
        <w:rPr>
          <w:color w:val="000000"/>
        </w:rPr>
      </w:pPr>
      <w:r w:rsidRPr="007F6029">
        <w:rPr>
          <w:rFonts w:ascii="Book Antiqua" w:hAnsi="Book Antiqua"/>
          <w:b/>
          <w:bCs/>
          <w:color w:val="000000"/>
        </w:rPr>
        <w:t>Variation due to increase in price</w:t>
      </w:r>
    </w:p>
    <w:p w:rsidR="00582307" w:rsidRPr="007F6029" w:rsidRDefault="00582307" w:rsidP="005C597E">
      <w:pPr>
        <w:spacing w:after="240" w:line="276" w:lineRule="auto"/>
        <w:ind w:left="426"/>
        <w:jc w:val="both"/>
        <w:rPr>
          <w:rFonts w:ascii="Book Antiqua" w:hAnsi="Book Antiqua"/>
          <w:b/>
          <w:bCs/>
          <w:color w:val="000000"/>
        </w:rPr>
      </w:pPr>
      <w:r w:rsidRPr="007F6029">
        <w:rPr>
          <w:rFonts w:ascii="Book Antiqua" w:hAnsi="Book Antiqua"/>
          <w:b/>
          <w:bCs/>
          <w:color w:val="000000"/>
        </w:rPr>
        <w:t>Compliance: -</w:t>
      </w:r>
    </w:p>
    <w:p w:rsidR="00582307" w:rsidRPr="005C597E" w:rsidRDefault="00582307" w:rsidP="007D4215">
      <w:pPr>
        <w:pStyle w:val="ListParagraph"/>
        <w:numPr>
          <w:ilvl w:val="0"/>
          <w:numId w:val="18"/>
        </w:numPr>
        <w:spacing w:after="0" w:line="360" w:lineRule="auto"/>
        <w:ind w:left="993"/>
        <w:contextualSpacing/>
        <w:jc w:val="both"/>
        <w:rPr>
          <w:rFonts w:ascii="Book Antiqua" w:hAnsi="Book Antiqua" w:cs="Calibri"/>
          <w:color w:val="000000"/>
          <w:sz w:val="24"/>
          <w:szCs w:val="24"/>
          <w:lang w:val="en-IN"/>
        </w:rPr>
      </w:pPr>
      <w:r w:rsidRPr="005C597E">
        <w:rPr>
          <w:rFonts w:ascii="Book Antiqua" w:hAnsi="Book Antiqua" w:cs="Calibri"/>
          <w:color w:val="000000"/>
          <w:sz w:val="24"/>
          <w:szCs w:val="24"/>
          <w:lang w:val="en-IN"/>
        </w:rPr>
        <w:lastRenderedPageBreak/>
        <w:t xml:space="preserve">Normal Development Scheme – FY. 2018-19 (Approved) </w:t>
      </w:r>
      <w:r w:rsidR="007F6029">
        <w:rPr>
          <w:rFonts w:ascii="Book Antiqua" w:hAnsi="Book Antiqua" w:cs="Calibri"/>
          <w:color w:val="000000"/>
          <w:sz w:val="24"/>
          <w:szCs w:val="24"/>
          <w:lang w:val="en-IN"/>
        </w:rPr>
        <w:t xml:space="preserve">Rs. </w:t>
      </w:r>
      <w:r w:rsidRPr="005C597E">
        <w:rPr>
          <w:rFonts w:ascii="Book Antiqua" w:hAnsi="Book Antiqua" w:cs="Calibri"/>
          <w:color w:val="000000"/>
          <w:sz w:val="24"/>
          <w:szCs w:val="24"/>
          <w:lang w:val="en-IN"/>
        </w:rPr>
        <w:t>177.00</w:t>
      </w:r>
      <w:r w:rsidR="007F6029">
        <w:rPr>
          <w:rFonts w:ascii="Book Antiqua" w:hAnsi="Book Antiqua" w:cs="Calibri"/>
          <w:color w:val="000000"/>
          <w:sz w:val="24"/>
          <w:szCs w:val="24"/>
          <w:lang w:val="en-IN"/>
        </w:rPr>
        <w:t xml:space="preserve"> Crore</w:t>
      </w:r>
      <w:r w:rsidR="00E01DE6">
        <w:rPr>
          <w:rFonts w:ascii="Book Antiqua" w:hAnsi="Book Antiqua" w:cs="Calibri"/>
          <w:color w:val="000000"/>
          <w:sz w:val="24"/>
          <w:szCs w:val="24"/>
          <w:lang w:val="en-IN"/>
        </w:rPr>
        <w:t>, (Actual)</w:t>
      </w:r>
      <w:r w:rsidR="007F6029">
        <w:rPr>
          <w:rFonts w:ascii="Book Antiqua" w:hAnsi="Book Antiqua" w:cs="Calibri"/>
          <w:color w:val="000000"/>
          <w:sz w:val="24"/>
          <w:szCs w:val="24"/>
          <w:lang w:val="en-IN"/>
        </w:rPr>
        <w:t xml:space="preserve">Rs. </w:t>
      </w:r>
      <w:r w:rsidRPr="005C597E">
        <w:rPr>
          <w:rFonts w:ascii="Book Antiqua" w:hAnsi="Book Antiqua" w:cs="Calibri"/>
          <w:color w:val="000000"/>
          <w:sz w:val="24"/>
          <w:szCs w:val="24"/>
          <w:lang w:val="en-IN"/>
        </w:rPr>
        <w:t>259.63</w:t>
      </w:r>
      <w:r w:rsidR="007F6029">
        <w:rPr>
          <w:rFonts w:ascii="Book Antiqua" w:hAnsi="Book Antiqua" w:cs="Calibri"/>
          <w:color w:val="000000"/>
          <w:sz w:val="24"/>
          <w:szCs w:val="24"/>
          <w:lang w:val="en-IN"/>
        </w:rPr>
        <w:t xml:space="preserve"> Crore</w:t>
      </w:r>
      <w:r w:rsidRPr="005C597E">
        <w:rPr>
          <w:rFonts w:ascii="Book Antiqua" w:hAnsi="Book Antiqua" w:cs="Calibri"/>
          <w:color w:val="000000"/>
          <w:sz w:val="24"/>
          <w:szCs w:val="24"/>
          <w:lang w:val="en-IN"/>
        </w:rPr>
        <w:t xml:space="preserve">, Diff. </w:t>
      </w:r>
      <w:r w:rsidR="007F6029">
        <w:rPr>
          <w:rFonts w:ascii="Book Antiqua" w:hAnsi="Book Antiqua" w:cs="Calibri"/>
          <w:color w:val="000000"/>
          <w:sz w:val="24"/>
          <w:szCs w:val="24"/>
          <w:lang w:val="en-IN"/>
        </w:rPr>
        <w:t xml:space="preserve">Rs. </w:t>
      </w:r>
      <w:r w:rsidRPr="005C597E">
        <w:rPr>
          <w:rFonts w:ascii="Book Antiqua" w:hAnsi="Book Antiqua" w:cs="Calibri"/>
          <w:color w:val="000000"/>
          <w:sz w:val="24"/>
          <w:szCs w:val="24"/>
          <w:lang w:val="en-IN"/>
        </w:rPr>
        <w:t>82.63</w:t>
      </w:r>
      <w:r w:rsidR="007F6029">
        <w:rPr>
          <w:rFonts w:ascii="Book Antiqua" w:hAnsi="Book Antiqua" w:cs="Calibri"/>
          <w:color w:val="000000"/>
          <w:sz w:val="24"/>
          <w:szCs w:val="24"/>
          <w:lang w:val="en-IN"/>
        </w:rPr>
        <w:t xml:space="preserve"> Crore</w:t>
      </w:r>
      <w:r w:rsidRPr="005C597E">
        <w:rPr>
          <w:rFonts w:ascii="Book Antiqua" w:hAnsi="Book Antiqua" w:cs="Calibri"/>
          <w:color w:val="000000"/>
          <w:sz w:val="24"/>
          <w:szCs w:val="24"/>
          <w:lang w:val="en-IN"/>
        </w:rPr>
        <w:t>.</w:t>
      </w:r>
    </w:p>
    <w:p w:rsidR="00582307" w:rsidRPr="005C597E" w:rsidRDefault="00582307" w:rsidP="007D4215">
      <w:pPr>
        <w:pStyle w:val="ListParagraph"/>
        <w:spacing w:line="360" w:lineRule="auto"/>
        <w:ind w:left="993"/>
        <w:jc w:val="both"/>
        <w:rPr>
          <w:rFonts w:ascii="Book Antiqua" w:hAnsi="Book Antiqua" w:cs="Calibri"/>
          <w:color w:val="000000"/>
          <w:sz w:val="24"/>
          <w:szCs w:val="24"/>
          <w:lang w:val="en-IN"/>
        </w:rPr>
      </w:pPr>
      <w:r w:rsidRPr="005C597E">
        <w:rPr>
          <w:rFonts w:ascii="Book Antiqua" w:hAnsi="Book Antiqua" w:cs="Calibri"/>
          <w:color w:val="000000"/>
          <w:sz w:val="24"/>
          <w:szCs w:val="24"/>
          <w:lang w:val="en-IN"/>
        </w:rPr>
        <w:t>During the FY: 2018-19, growth of UGVCL in terms of number of consumers and load has exceeded than projected due to potential development at the periphery of Ahmedabad, Gandhinagar city area. Day by day the underground work and work by AB cable has been increased to avoid the accident. Which result in increase in overall cost.</w:t>
      </w:r>
    </w:p>
    <w:p w:rsidR="00582307" w:rsidRPr="005C597E" w:rsidRDefault="00582307" w:rsidP="007D4215">
      <w:pPr>
        <w:pStyle w:val="ListParagraph"/>
        <w:spacing w:line="360" w:lineRule="auto"/>
        <w:ind w:left="993"/>
        <w:jc w:val="both"/>
        <w:rPr>
          <w:rFonts w:ascii="Book Antiqua" w:hAnsi="Book Antiqua" w:cs="Calibri"/>
          <w:color w:val="000000"/>
          <w:sz w:val="24"/>
          <w:szCs w:val="24"/>
          <w:lang w:val="en-IN"/>
        </w:rPr>
      </w:pPr>
      <w:r w:rsidRPr="005C597E">
        <w:rPr>
          <w:rFonts w:ascii="Book Antiqua" w:hAnsi="Book Antiqua" w:cs="Calibri"/>
          <w:color w:val="000000"/>
          <w:sz w:val="24"/>
          <w:szCs w:val="24"/>
          <w:lang w:val="en-IN"/>
        </w:rPr>
        <w:t>Variation due to change in scope of work than routine development by overhead HT /LT line &amp; Transformer.</w:t>
      </w:r>
    </w:p>
    <w:p w:rsidR="00582307" w:rsidRPr="005C597E" w:rsidRDefault="00582307" w:rsidP="007D4215">
      <w:pPr>
        <w:pStyle w:val="ListParagraph"/>
        <w:numPr>
          <w:ilvl w:val="0"/>
          <w:numId w:val="18"/>
        </w:numPr>
        <w:spacing w:after="0" w:line="360" w:lineRule="auto"/>
        <w:ind w:left="993"/>
        <w:contextualSpacing/>
        <w:jc w:val="both"/>
        <w:rPr>
          <w:rFonts w:ascii="Book Antiqua" w:hAnsi="Book Antiqua" w:cs="Calibri"/>
          <w:color w:val="000000"/>
          <w:sz w:val="24"/>
          <w:szCs w:val="24"/>
          <w:lang w:val="en-IN"/>
        </w:rPr>
      </w:pPr>
      <w:r w:rsidRPr="005C597E">
        <w:rPr>
          <w:rFonts w:ascii="Book Antiqua" w:hAnsi="Book Antiqua" w:cs="Calibri"/>
          <w:color w:val="000000"/>
          <w:sz w:val="24"/>
          <w:szCs w:val="24"/>
          <w:lang w:val="en-IN"/>
        </w:rPr>
        <w:t xml:space="preserve">System Improvement Scheme: - FY. 2018-19 (Approved) </w:t>
      </w:r>
      <w:r w:rsidR="007F6029">
        <w:rPr>
          <w:rFonts w:ascii="Book Antiqua" w:hAnsi="Book Antiqua" w:cs="Calibri"/>
          <w:color w:val="000000"/>
          <w:sz w:val="24"/>
          <w:szCs w:val="24"/>
          <w:lang w:val="en-IN"/>
        </w:rPr>
        <w:t xml:space="preserve">Rs. </w:t>
      </w:r>
      <w:r w:rsidRPr="005C597E">
        <w:rPr>
          <w:rFonts w:ascii="Book Antiqua" w:hAnsi="Book Antiqua" w:cs="Calibri"/>
          <w:color w:val="000000"/>
          <w:sz w:val="24"/>
          <w:szCs w:val="24"/>
          <w:lang w:val="en-IN"/>
        </w:rPr>
        <w:t>40.00</w:t>
      </w:r>
      <w:r w:rsidR="007F6029">
        <w:rPr>
          <w:rFonts w:ascii="Book Antiqua" w:hAnsi="Book Antiqua" w:cs="Calibri"/>
          <w:color w:val="000000"/>
          <w:sz w:val="24"/>
          <w:szCs w:val="24"/>
          <w:lang w:val="en-IN"/>
        </w:rPr>
        <w:t xml:space="preserve"> Crore</w:t>
      </w:r>
      <w:r w:rsidRPr="005C597E">
        <w:rPr>
          <w:rFonts w:ascii="Book Antiqua" w:hAnsi="Book Antiqua" w:cs="Calibri"/>
          <w:color w:val="000000"/>
          <w:sz w:val="24"/>
          <w:szCs w:val="24"/>
          <w:lang w:val="en-IN"/>
        </w:rPr>
        <w:t xml:space="preserve"> – FY. (2018-19) </w:t>
      </w:r>
      <w:r w:rsidR="007F6029">
        <w:rPr>
          <w:rFonts w:ascii="Book Antiqua" w:hAnsi="Book Antiqua" w:cs="Calibri"/>
          <w:color w:val="000000"/>
          <w:sz w:val="24"/>
          <w:szCs w:val="24"/>
          <w:lang w:val="en-IN"/>
        </w:rPr>
        <w:t xml:space="preserve">Rs. </w:t>
      </w:r>
      <w:r w:rsidRPr="005C597E">
        <w:rPr>
          <w:rFonts w:ascii="Book Antiqua" w:hAnsi="Book Antiqua" w:cs="Calibri"/>
          <w:color w:val="000000"/>
          <w:sz w:val="24"/>
          <w:szCs w:val="24"/>
          <w:lang w:val="en-IN"/>
        </w:rPr>
        <w:t>28.85</w:t>
      </w:r>
      <w:r w:rsidR="007F6029">
        <w:rPr>
          <w:rFonts w:ascii="Book Antiqua" w:hAnsi="Book Antiqua" w:cs="Calibri"/>
          <w:color w:val="000000"/>
          <w:sz w:val="24"/>
          <w:szCs w:val="24"/>
          <w:lang w:val="en-IN"/>
        </w:rPr>
        <w:t xml:space="preserve"> Crore</w:t>
      </w:r>
      <w:r w:rsidRPr="005C597E">
        <w:rPr>
          <w:rFonts w:ascii="Book Antiqua" w:hAnsi="Book Antiqua" w:cs="Calibri"/>
          <w:color w:val="000000"/>
          <w:sz w:val="24"/>
          <w:szCs w:val="24"/>
          <w:lang w:val="en-IN"/>
        </w:rPr>
        <w:t xml:space="preserve">, Diff. </w:t>
      </w:r>
      <w:r w:rsidR="007F6029">
        <w:rPr>
          <w:rFonts w:ascii="Book Antiqua" w:hAnsi="Book Antiqua" w:cs="Calibri"/>
          <w:color w:val="000000"/>
          <w:sz w:val="24"/>
          <w:szCs w:val="24"/>
          <w:lang w:val="en-IN"/>
        </w:rPr>
        <w:t xml:space="preserve">Rs. </w:t>
      </w:r>
      <w:r w:rsidRPr="005C597E">
        <w:rPr>
          <w:rFonts w:ascii="Book Antiqua" w:hAnsi="Book Antiqua" w:cs="Calibri"/>
          <w:color w:val="000000"/>
          <w:sz w:val="24"/>
          <w:szCs w:val="24"/>
          <w:lang w:val="en-IN"/>
        </w:rPr>
        <w:t>11.15</w:t>
      </w:r>
      <w:r w:rsidR="007F6029">
        <w:rPr>
          <w:rFonts w:ascii="Book Antiqua" w:hAnsi="Book Antiqua" w:cs="Calibri"/>
          <w:color w:val="000000"/>
          <w:sz w:val="24"/>
          <w:szCs w:val="24"/>
          <w:lang w:val="en-IN"/>
        </w:rPr>
        <w:t xml:space="preserve"> Crore</w:t>
      </w:r>
    </w:p>
    <w:p w:rsidR="00582307" w:rsidRPr="005C597E" w:rsidRDefault="00582307" w:rsidP="007D4215">
      <w:pPr>
        <w:pStyle w:val="ListParagraph"/>
        <w:spacing w:line="360" w:lineRule="auto"/>
        <w:ind w:left="993"/>
        <w:jc w:val="both"/>
        <w:rPr>
          <w:rFonts w:ascii="Book Antiqua" w:hAnsi="Book Antiqua" w:cs="Calibri"/>
          <w:color w:val="000000"/>
          <w:sz w:val="24"/>
          <w:szCs w:val="24"/>
          <w:lang w:val="en-IN"/>
        </w:rPr>
      </w:pPr>
      <w:r w:rsidRPr="005C597E">
        <w:rPr>
          <w:rFonts w:ascii="Book Antiqua" w:hAnsi="Book Antiqua" w:cs="Calibri"/>
          <w:color w:val="000000"/>
          <w:sz w:val="24"/>
          <w:szCs w:val="24"/>
          <w:lang w:val="en-IN"/>
        </w:rPr>
        <w:t>The actual capital expenditure under this scheme has decreased in comparison to the approved capital expenditure because UGVCL has carried out some of the work of similar nature under different scheme, like SKJY, IPDS &amp; DDUGJY.</w:t>
      </w:r>
    </w:p>
    <w:p w:rsidR="006169D2" w:rsidRPr="007F6029" w:rsidRDefault="006169D2" w:rsidP="00770C14">
      <w:pPr>
        <w:pStyle w:val="ListParagraph"/>
        <w:numPr>
          <w:ilvl w:val="0"/>
          <w:numId w:val="18"/>
        </w:numPr>
        <w:spacing w:line="360" w:lineRule="auto"/>
        <w:ind w:left="992"/>
        <w:contextualSpacing/>
        <w:jc w:val="both"/>
        <w:rPr>
          <w:rFonts w:ascii="Book Antiqua" w:hAnsi="Book Antiqua" w:cs="Calibri"/>
          <w:color w:val="000000"/>
          <w:sz w:val="24"/>
          <w:szCs w:val="24"/>
          <w:lang w:val="en-IN"/>
        </w:rPr>
      </w:pPr>
      <w:r w:rsidRPr="007F6029">
        <w:rPr>
          <w:rFonts w:ascii="Book Antiqua" w:hAnsi="Book Antiqua" w:cs="Calibri"/>
          <w:color w:val="000000"/>
          <w:sz w:val="24"/>
          <w:szCs w:val="24"/>
          <w:lang w:val="en-IN"/>
        </w:rPr>
        <w:t>Under Ground cables: - Expenditure in underground cables scheme relatedtoconversion of overhead line to underground network in the area of mahanagarpali</w:t>
      </w:r>
      <w:r w:rsidR="00E57F3B">
        <w:rPr>
          <w:rFonts w:ascii="Book Antiqua" w:hAnsi="Book Antiqua" w:cs="Calibri"/>
          <w:color w:val="000000"/>
          <w:sz w:val="24"/>
          <w:szCs w:val="24"/>
          <w:lang w:val="en-IN"/>
        </w:rPr>
        <w:t>k</w:t>
      </w:r>
      <w:r w:rsidRPr="007F6029">
        <w:rPr>
          <w:rFonts w:ascii="Book Antiqua" w:hAnsi="Book Antiqua" w:cs="Calibri"/>
          <w:color w:val="000000"/>
          <w:sz w:val="24"/>
          <w:szCs w:val="24"/>
          <w:lang w:val="en-IN"/>
        </w:rPr>
        <w:t>a.Under this scheme,the Hon’ble commission has approved capital expenditure of Rs. 100 Crore. However, due to delay in necessary DPR approval, execution of work could not be carried out in FY 2018-19 as per approved schedule.</w:t>
      </w:r>
    </w:p>
    <w:p w:rsidR="00582307" w:rsidRPr="005C597E" w:rsidRDefault="00582307" w:rsidP="007D4215">
      <w:pPr>
        <w:pStyle w:val="ListParagraph"/>
        <w:numPr>
          <w:ilvl w:val="0"/>
          <w:numId w:val="18"/>
        </w:numPr>
        <w:spacing w:after="0" w:line="360" w:lineRule="auto"/>
        <w:ind w:left="993"/>
        <w:contextualSpacing/>
        <w:jc w:val="both"/>
        <w:rPr>
          <w:rFonts w:ascii="Book Antiqua" w:hAnsi="Book Antiqua" w:cs="Calibri"/>
          <w:color w:val="000000"/>
          <w:sz w:val="24"/>
          <w:szCs w:val="24"/>
          <w:lang w:val="en-IN"/>
        </w:rPr>
      </w:pPr>
      <w:r w:rsidRPr="005C597E">
        <w:rPr>
          <w:rFonts w:ascii="Book Antiqua" w:hAnsi="Book Antiqua" w:cs="Calibri"/>
          <w:color w:val="000000"/>
          <w:sz w:val="24"/>
          <w:szCs w:val="24"/>
          <w:lang w:val="en-IN"/>
        </w:rPr>
        <w:t xml:space="preserve">Dark Zone: - FY. 2018-19 (Approved) </w:t>
      </w:r>
      <w:r w:rsidR="00002724">
        <w:rPr>
          <w:rFonts w:ascii="Book Antiqua" w:hAnsi="Book Antiqua" w:cs="Calibri"/>
          <w:color w:val="000000"/>
          <w:sz w:val="24"/>
          <w:szCs w:val="24"/>
          <w:lang w:val="en-IN"/>
        </w:rPr>
        <w:t xml:space="preserve">Rs. </w:t>
      </w:r>
      <w:r w:rsidRPr="005C597E">
        <w:rPr>
          <w:rFonts w:ascii="Book Antiqua" w:hAnsi="Book Antiqua" w:cs="Calibri"/>
          <w:color w:val="000000"/>
          <w:sz w:val="24"/>
          <w:szCs w:val="24"/>
          <w:lang w:val="en-IN"/>
        </w:rPr>
        <w:t>100.00</w:t>
      </w:r>
      <w:r w:rsidR="00002724">
        <w:rPr>
          <w:rFonts w:ascii="Book Antiqua" w:hAnsi="Book Antiqua" w:cs="Calibri"/>
          <w:color w:val="000000"/>
          <w:sz w:val="24"/>
          <w:szCs w:val="24"/>
          <w:lang w:val="en-IN"/>
        </w:rPr>
        <w:t xml:space="preserve"> Crore</w:t>
      </w:r>
      <w:r w:rsidRPr="005C597E">
        <w:rPr>
          <w:rFonts w:ascii="Book Antiqua" w:hAnsi="Book Antiqua" w:cs="Calibri"/>
          <w:color w:val="000000"/>
          <w:sz w:val="24"/>
          <w:szCs w:val="24"/>
          <w:lang w:val="en-IN"/>
        </w:rPr>
        <w:t xml:space="preserve"> – FY. (2018-19) </w:t>
      </w:r>
      <w:r w:rsidR="00002724">
        <w:rPr>
          <w:rFonts w:ascii="Book Antiqua" w:hAnsi="Book Antiqua" w:cs="Calibri"/>
          <w:color w:val="000000"/>
          <w:sz w:val="24"/>
          <w:szCs w:val="24"/>
          <w:lang w:val="en-IN"/>
        </w:rPr>
        <w:t xml:space="preserve">Rs. </w:t>
      </w:r>
      <w:r w:rsidRPr="005C597E">
        <w:rPr>
          <w:rFonts w:ascii="Book Antiqua" w:hAnsi="Book Antiqua" w:cs="Calibri"/>
          <w:color w:val="000000"/>
          <w:sz w:val="24"/>
          <w:szCs w:val="24"/>
          <w:lang w:val="en-IN"/>
        </w:rPr>
        <w:t>149.19</w:t>
      </w:r>
      <w:r w:rsidR="00002724">
        <w:rPr>
          <w:rFonts w:ascii="Book Antiqua" w:hAnsi="Book Antiqua" w:cs="Calibri"/>
          <w:color w:val="000000"/>
          <w:sz w:val="24"/>
          <w:szCs w:val="24"/>
          <w:lang w:val="en-IN"/>
        </w:rPr>
        <w:t xml:space="preserve"> Crore</w:t>
      </w:r>
      <w:r w:rsidRPr="005C597E">
        <w:rPr>
          <w:rFonts w:ascii="Book Antiqua" w:hAnsi="Book Antiqua" w:cs="Calibri"/>
          <w:color w:val="000000"/>
          <w:sz w:val="24"/>
          <w:szCs w:val="24"/>
          <w:lang w:val="en-IN"/>
        </w:rPr>
        <w:t xml:space="preserve">, Diff. </w:t>
      </w:r>
      <w:r w:rsidR="00002724">
        <w:rPr>
          <w:rFonts w:ascii="Book Antiqua" w:hAnsi="Book Antiqua" w:cs="Calibri"/>
          <w:color w:val="000000"/>
          <w:sz w:val="24"/>
          <w:szCs w:val="24"/>
          <w:lang w:val="en-IN"/>
        </w:rPr>
        <w:t xml:space="preserve">Rs. </w:t>
      </w:r>
      <w:r w:rsidRPr="005C597E">
        <w:rPr>
          <w:rFonts w:ascii="Book Antiqua" w:hAnsi="Book Antiqua" w:cs="Calibri"/>
          <w:color w:val="000000"/>
          <w:sz w:val="24"/>
          <w:szCs w:val="24"/>
          <w:lang w:val="en-IN"/>
        </w:rPr>
        <w:t>49.19</w:t>
      </w:r>
      <w:r w:rsidR="00002724">
        <w:rPr>
          <w:rFonts w:ascii="Book Antiqua" w:hAnsi="Book Antiqua" w:cs="Calibri"/>
          <w:color w:val="000000"/>
          <w:sz w:val="24"/>
          <w:szCs w:val="24"/>
          <w:lang w:val="en-IN"/>
        </w:rPr>
        <w:t xml:space="preserve"> Crore</w:t>
      </w:r>
      <w:r w:rsidRPr="005C597E">
        <w:rPr>
          <w:rFonts w:ascii="Book Antiqua" w:hAnsi="Book Antiqua" w:cs="Calibri"/>
          <w:color w:val="000000"/>
          <w:sz w:val="24"/>
          <w:szCs w:val="24"/>
          <w:lang w:val="en-IN"/>
        </w:rPr>
        <w:t>.</w:t>
      </w:r>
    </w:p>
    <w:p w:rsidR="006169D2" w:rsidRPr="006169D2" w:rsidRDefault="00582307" w:rsidP="006169D2">
      <w:pPr>
        <w:pStyle w:val="ListParagraph"/>
        <w:spacing w:line="360" w:lineRule="auto"/>
        <w:ind w:left="993"/>
        <w:jc w:val="both"/>
        <w:rPr>
          <w:rFonts w:ascii="Book Antiqua" w:hAnsi="Book Antiqua" w:cs="Calibri"/>
          <w:color w:val="000000"/>
          <w:sz w:val="24"/>
          <w:szCs w:val="24"/>
          <w:lang w:val="en-IN"/>
        </w:rPr>
      </w:pPr>
      <w:r w:rsidRPr="005C597E">
        <w:rPr>
          <w:rFonts w:ascii="Book Antiqua" w:hAnsi="Book Antiqua" w:cs="Calibri"/>
          <w:color w:val="000000"/>
          <w:sz w:val="24"/>
          <w:szCs w:val="24"/>
          <w:lang w:val="en-IN"/>
        </w:rPr>
        <w:t>During the FY 2018-19, the actual wells electrified 11844 nos. against the target of 11150 wells. Capital expenditure under this scheme has increased due to higher no. of wells being electrified during the FY: 2018-19.</w:t>
      </w:r>
    </w:p>
    <w:p w:rsidR="005A07FE" w:rsidRPr="005A07FE" w:rsidRDefault="005A07FE" w:rsidP="00692826">
      <w:pPr>
        <w:pStyle w:val="ListParagraph"/>
        <w:numPr>
          <w:ilvl w:val="0"/>
          <w:numId w:val="18"/>
        </w:numPr>
        <w:spacing w:line="360" w:lineRule="auto"/>
        <w:ind w:left="993"/>
        <w:contextualSpacing/>
        <w:jc w:val="both"/>
        <w:rPr>
          <w:rFonts w:ascii="Book Antiqua" w:hAnsi="Book Antiqua" w:cs="Calibri"/>
          <w:color w:val="000000"/>
          <w:sz w:val="24"/>
          <w:szCs w:val="24"/>
          <w:lang w:val="en-IN"/>
        </w:rPr>
      </w:pPr>
      <w:r w:rsidRPr="005A07FE">
        <w:rPr>
          <w:rFonts w:ascii="Book Antiqua" w:hAnsi="Book Antiqua" w:cs="Calibri"/>
          <w:color w:val="000000"/>
          <w:sz w:val="24"/>
          <w:szCs w:val="24"/>
          <w:lang w:val="en-IN"/>
        </w:rPr>
        <w:t>DDUGJY :-</w:t>
      </w:r>
    </w:p>
    <w:p w:rsidR="005A07FE" w:rsidRPr="00002724" w:rsidRDefault="005A07FE" w:rsidP="00002724">
      <w:pPr>
        <w:pStyle w:val="ListParagraph"/>
        <w:spacing w:after="240" w:line="360" w:lineRule="auto"/>
        <w:ind w:left="993"/>
        <w:jc w:val="both"/>
        <w:rPr>
          <w:rFonts w:ascii="Book Antiqua" w:hAnsi="Book Antiqua" w:cs="Calibri"/>
          <w:color w:val="000000"/>
          <w:sz w:val="24"/>
          <w:szCs w:val="24"/>
          <w:lang w:val="en-IN"/>
        </w:rPr>
      </w:pPr>
      <w:r w:rsidRPr="005A07FE">
        <w:rPr>
          <w:rFonts w:ascii="Book Antiqua" w:hAnsi="Book Antiqua" w:cs="Calibri"/>
          <w:color w:val="000000"/>
          <w:sz w:val="24"/>
          <w:szCs w:val="24"/>
          <w:lang w:val="en-IN"/>
        </w:rPr>
        <w:t>Rs. 122.03 Crore DPR was approved under the said scheme in May – 2016. As per the approved DPR, execution of work in field was carried out later. Further, it is to be noted that as per guidelines of REC, execution of work under the said scheme should be completed before March, 2019. Therefore, UGVCL has expedited all field work and booked material along with the payment to the contractors in FY 2018-19 to meet aforesaid deadline. Further, work has been completed in March,2019. Hence, actual expenditure is more than budgetary provision. However, it has not exceededcapital expenditure approved in DPR.</w:t>
      </w:r>
    </w:p>
    <w:p w:rsidR="005A07FE" w:rsidRPr="005A07FE" w:rsidRDefault="005A07FE" w:rsidP="005A07FE">
      <w:pPr>
        <w:pStyle w:val="ListParagraph"/>
        <w:numPr>
          <w:ilvl w:val="0"/>
          <w:numId w:val="18"/>
        </w:numPr>
        <w:spacing w:line="360" w:lineRule="auto"/>
        <w:contextualSpacing/>
        <w:jc w:val="both"/>
        <w:rPr>
          <w:rFonts w:ascii="Book Antiqua" w:hAnsi="Book Antiqua" w:cs="Calibri"/>
          <w:color w:val="000000"/>
          <w:sz w:val="24"/>
          <w:szCs w:val="24"/>
          <w:lang w:val="en-IN"/>
        </w:rPr>
      </w:pPr>
      <w:r w:rsidRPr="005A07FE">
        <w:rPr>
          <w:rFonts w:ascii="Book Antiqua" w:hAnsi="Book Antiqua" w:cs="Calibri"/>
          <w:color w:val="000000"/>
          <w:sz w:val="24"/>
          <w:szCs w:val="24"/>
          <w:lang w:val="en-IN"/>
        </w:rPr>
        <w:lastRenderedPageBreak/>
        <w:t>IPDS :-</w:t>
      </w:r>
    </w:p>
    <w:p w:rsidR="005A07FE" w:rsidRDefault="005A07FE" w:rsidP="005A07FE">
      <w:pPr>
        <w:pStyle w:val="ListParagraph"/>
        <w:spacing w:after="0" w:line="360" w:lineRule="auto"/>
        <w:ind w:left="709"/>
        <w:contextualSpacing/>
        <w:jc w:val="both"/>
        <w:rPr>
          <w:rFonts w:ascii="Book Antiqua" w:hAnsi="Book Antiqua" w:cs="Calibri"/>
          <w:color w:val="000000"/>
          <w:sz w:val="24"/>
          <w:szCs w:val="24"/>
          <w:lang w:val="en-IN"/>
        </w:rPr>
      </w:pPr>
      <w:r w:rsidRPr="005A07FE">
        <w:rPr>
          <w:rFonts w:ascii="Book Antiqua" w:hAnsi="Book Antiqua" w:cs="Calibri"/>
          <w:color w:val="000000"/>
          <w:sz w:val="24"/>
          <w:szCs w:val="24"/>
          <w:lang w:val="en-IN"/>
        </w:rPr>
        <w:t>Capital expenditure ofRs. 102.22 Crore was approved in DPR for the said scheme in May, 2016. As per guidelines of PFC, execution of work under the said scheme should be completed before March, 2019. Hence, UGVCL has expedited the field work. Turnkey order was placed in June, 2018 for carrying out underground work in Sabarmati Circle and Himmatnagar Circle for an amount of Rs. 16.41 Crore and Rs. 8.71 Crore respectively. These works were completed within time.</w:t>
      </w:r>
    </w:p>
    <w:p w:rsidR="005A07FE" w:rsidRPr="005A07FE" w:rsidRDefault="005A07FE" w:rsidP="005A07FE">
      <w:pPr>
        <w:pStyle w:val="ListParagraph"/>
        <w:numPr>
          <w:ilvl w:val="0"/>
          <w:numId w:val="18"/>
        </w:numPr>
        <w:spacing w:after="0" w:line="360" w:lineRule="auto"/>
        <w:contextualSpacing/>
        <w:jc w:val="both"/>
        <w:rPr>
          <w:rFonts w:ascii="Book Antiqua" w:hAnsi="Book Antiqua" w:cs="Calibri"/>
          <w:color w:val="000000"/>
          <w:sz w:val="24"/>
          <w:szCs w:val="24"/>
          <w:lang w:val="en-IN"/>
        </w:rPr>
      </w:pPr>
      <w:r w:rsidRPr="005A07FE">
        <w:rPr>
          <w:rFonts w:ascii="Book Antiqua" w:hAnsi="Book Antiqua" w:cs="Calibri"/>
          <w:color w:val="000000"/>
          <w:sz w:val="24"/>
          <w:szCs w:val="24"/>
          <w:lang w:val="en-IN"/>
        </w:rPr>
        <w:t>Smart Grid :-</w:t>
      </w:r>
    </w:p>
    <w:p w:rsidR="005A07FE" w:rsidRPr="005A07FE" w:rsidRDefault="005A07FE" w:rsidP="005A07FE">
      <w:pPr>
        <w:pStyle w:val="Default"/>
        <w:numPr>
          <w:ilvl w:val="0"/>
          <w:numId w:val="21"/>
        </w:numPr>
        <w:spacing w:after="200" w:line="288" w:lineRule="auto"/>
        <w:ind w:left="1260" w:hanging="450"/>
        <w:jc w:val="both"/>
        <w:rPr>
          <w:rFonts w:ascii="Book Antiqua" w:eastAsiaTheme="minorHAnsi" w:hAnsi="Book Antiqua" w:cs="Calibri"/>
          <w:lang w:val="en-IN"/>
        </w:rPr>
      </w:pPr>
      <w:r w:rsidRPr="005A07FE">
        <w:rPr>
          <w:rFonts w:ascii="Book Antiqua" w:eastAsiaTheme="minorHAnsi" w:hAnsi="Book Antiqua" w:cs="Calibri"/>
          <w:lang w:val="en-IN"/>
        </w:rPr>
        <w:t>The broad scope of the pilot project:</w:t>
      </w:r>
    </w:p>
    <w:p w:rsidR="005A07FE" w:rsidRPr="005A07FE" w:rsidRDefault="005A07FE" w:rsidP="005A07FE">
      <w:pPr>
        <w:pStyle w:val="Default"/>
        <w:numPr>
          <w:ilvl w:val="0"/>
          <w:numId w:val="22"/>
        </w:numPr>
        <w:spacing w:line="360" w:lineRule="auto"/>
        <w:jc w:val="both"/>
        <w:rPr>
          <w:rFonts w:ascii="Book Antiqua" w:eastAsiaTheme="minorHAnsi" w:hAnsi="Book Antiqua" w:cs="Calibri"/>
          <w:lang w:val="en-IN"/>
        </w:rPr>
      </w:pPr>
      <w:r w:rsidRPr="005A07FE">
        <w:rPr>
          <w:rFonts w:ascii="Book Antiqua" w:eastAsiaTheme="minorHAnsi" w:hAnsi="Book Antiqua" w:cs="Calibri"/>
          <w:lang w:val="en-IN"/>
        </w:rPr>
        <w:t>AT&amp;C Loss Reduction</w:t>
      </w:r>
    </w:p>
    <w:p w:rsidR="005A07FE" w:rsidRPr="005A07FE" w:rsidRDefault="005A07FE" w:rsidP="005A07FE">
      <w:pPr>
        <w:pStyle w:val="Default"/>
        <w:numPr>
          <w:ilvl w:val="0"/>
          <w:numId w:val="22"/>
        </w:numPr>
        <w:spacing w:line="360" w:lineRule="auto"/>
        <w:jc w:val="both"/>
        <w:rPr>
          <w:rFonts w:ascii="Book Antiqua" w:eastAsiaTheme="minorHAnsi" w:hAnsi="Book Antiqua" w:cs="Calibri"/>
          <w:lang w:val="en-IN"/>
        </w:rPr>
      </w:pPr>
      <w:r w:rsidRPr="005A07FE">
        <w:rPr>
          <w:rFonts w:ascii="Book Antiqua" w:eastAsiaTheme="minorHAnsi" w:hAnsi="Book Antiqua" w:cs="Calibri"/>
          <w:lang w:val="en-IN"/>
        </w:rPr>
        <w:t>Peak Load Management</w:t>
      </w:r>
    </w:p>
    <w:p w:rsidR="005A07FE" w:rsidRPr="005A07FE" w:rsidRDefault="005A07FE" w:rsidP="005A07FE">
      <w:pPr>
        <w:pStyle w:val="Default"/>
        <w:numPr>
          <w:ilvl w:val="0"/>
          <w:numId w:val="22"/>
        </w:numPr>
        <w:spacing w:line="360" w:lineRule="auto"/>
        <w:jc w:val="both"/>
        <w:rPr>
          <w:rFonts w:ascii="Book Antiqua" w:eastAsiaTheme="minorHAnsi" w:hAnsi="Book Antiqua" w:cs="Calibri"/>
          <w:lang w:val="en-IN"/>
        </w:rPr>
      </w:pPr>
      <w:r w:rsidRPr="005A07FE">
        <w:rPr>
          <w:rFonts w:ascii="Book Antiqua" w:eastAsiaTheme="minorHAnsi" w:hAnsi="Book Antiqua" w:cs="Calibri"/>
          <w:lang w:val="en-IN"/>
        </w:rPr>
        <w:t xml:space="preserve">AMI for Industrial, commercial &amp; residential consumers, </w:t>
      </w:r>
    </w:p>
    <w:p w:rsidR="005A07FE" w:rsidRPr="005A07FE" w:rsidRDefault="005A07FE" w:rsidP="005A07FE">
      <w:pPr>
        <w:pStyle w:val="Default"/>
        <w:numPr>
          <w:ilvl w:val="0"/>
          <w:numId w:val="22"/>
        </w:numPr>
        <w:spacing w:line="360" w:lineRule="auto"/>
        <w:jc w:val="both"/>
        <w:rPr>
          <w:rFonts w:ascii="Book Antiqua" w:eastAsiaTheme="minorHAnsi" w:hAnsi="Book Antiqua" w:cs="Calibri"/>
          <w:lang w:val="en-IN"/>
        </w:rPr>
      </w:pPr>
      <w:r w:rsidRPr="005A07FE">
        <w:rPr>
          <w:rFonts w:ascii="Book Antiqua" w:eastAsiaTheme="minorHAnsi" w:hAnsi="Book Antiqua" w:cs="Calibri"/>
          <w:lang w:val="en-IN"/>
        </w:rPr>
        <w:t>Outage Management and,</w:t>
      </w:r>
    </w:p>
    <w:p w:rsidR="005A07FE" w:rsidRDefault="005A07FE" w:rsidP="005A07FE">
      <w:pPr>
        <w:pStyle w:val="Default"/>
        <w:numPr>
          <w:ilvl w:val="0"/>
          <w:numId w:val="22"/>
        </w:numPr>
        <w:spacing w:line="360" w:lineRule="auto"/>
        <w:jc w:val="both"/>
        <w:rPr>
          <w:rFonts w:ascii="Book Antiqua" w:eastAsiaTheme="minorHAnsi" w:hAnsi="Book Antiqua" w:cs="Calibri"/>
          <w:lang w:val="en-IN"/>
        </w:rPr>
      </w:pPr>
      <w:r w:rsidRPr="005A07FE">
        <w:rPr>
          <w:rFonts w:ascii="Book Antiqua" w:eastAsiaTheme="minorHAnsi" w:hAnsi="Book Antiqua" w:cs="Calibri"/>
          <w:lang w:val="en-IN"/>
        </w:rPr>
        <w:t>Demand Side Management and Demand Response and ToU tariff for consumers.</w:t>
      </w:r>
    </w:p>
    <w:p w:rsidR="005A07FE" w:rsidRDefault="005A07FE" w:rsidP="005A07FE">
      <w:pPr>
        <w:pStyle w:val="Default"/>
        <w:spacing w:line="360" w:lineRule="auto"/>
        <w:ind w:left="851"/>
        <w:jc w:val="both"/>
        <w:rPr>
          <w:rFonts w:ascii="Book Antiqua" w:hAnsi="Book Antiqua"/>
        </w:rPr>
      </w:pPr>
      <w:r w:rsidRPr="005A07FE">
        <w:rPr>
          <w:rFonts w:ascii="Book Antiqua" w:hAnsi="Book Antiqua"/>
        </w:rPr>
        <w:t>PO under this scheme was awarded in June, 2017.Budgetary provision made in FY 2017-18 of Rs 15 Crore could not be utilised in therespective financial year. Instead, that amount has been utilised in FY 2018-19 as milestone wasachieved during FY 2018-19.Therefore,capital expenditure of Rs 29.34 Crore has been incurred in FY 2018-19.</w:t>
      </w:r>
    </w:p>
    <w:p w:rsidR="005A07FE" w:rsidRPr="005A07FE" w:rsidRDefault="005A07FE" w:rsidP="005A07FE">
      <w:pPr>
        <w:pStyle w:val="ListParagraph"/>
        <w:numPr>
          <w:ilvl w:val="0"/>
          <w:numId w:val="18"/>
        </w:numPr>
        <w:spacing w:after="0" w:line="360" w:lineRule="auto"/>
        <w:contextualSpacing/>
        <w:jc w:val="both"/>
        <w:rPr>
          <w:rFonts w:ascii="Book Antiqua" w:eastAsia="Calibri" w:hAnsi="Book Antiqua" w:cs="Times New Roman"/>
          <w:color w:val="000000"/>
          <w:sz w:val="24"/>
          <w:szCs w:val="24"/>
        </w:rPr>
      </w:pPr>
      <w:r w:rsidRPr="005A07FE">
        <w:rPr>
          <w:rFonts w:ascii="Book Antiqua" w:eastAsia="Calibri" w:hAnsi="Book Antiqua" w:cs="Times New Roman"/>
          <w:color w:val="000000"/>
          <w:sz w:val="24"/>
          <w:szCs w:val="24"/>
        </w:rPr>
        <w:t>AG Norms (SPA)</w:t>
      </w:r>
    </w:p>
    <w:p w:rsidR="005A07FE" w:rsidRDefault="005A07FE" w:rsidP="005A07FE">
      <w:pPr>
        <w:pStyle w:val="ListParagraph"/>
        <w:jc w:val="both"/>
        <w:rPr>
          <w:rFonts w:cs="Arial"/>
          <w:sz w:val="24"/>
          <w:szCs w:val="24"/>
          <w:lang w:bidi="gu-IN"/>
        </w:rPr>
      </w:pPr>
      <w:r w:rsidRPr="005A07FE">
        <w:rPr>
          <w:rFonts w:ascii="Book Antiqua" w:eastAsia="Calibri" w:hAnsi="Book Antiqua" w:cs="Times New Roman"/>
          <w:color w:val="000000"/>
          <w:sz w:val="24"/>
          <w:szCs w:val="24"/>
        </w:rPr>
        <w:t>Due to more no. of wells electrified, the proposed infrastructure work increased</w:t>
      </w:r>
      <w:r>
        <w:rPr>
          <w:rFonts w:cs="Arial"/>
          <w:sz w:val="24"/>
          <w:szCs w:val="24"/>
          <w:lang w:bidi="gu-IN"/>
        </w:rPr>
        <w:t>.</w:t>
      </w:r>
    </w:p>
    <w:p w:rsidR="005A07FE" w:rsidRPr="005A07FE" w:rsidRDefault="005A07FE" w:rsidP="005A07FE">
      <w:pPr>
        <w:pStyle w:val="Default"/>
        <w:spacing w:line="360" w:lineRule="auto"/>
        <w:ind w:left="851"/>
        <w:jc w:val="both"/>
        <w:rPr>
          <w:rFonts w:ascii="Book Antiqua" w:eastAsiaTheme="minorHAnsi" w:hAnsi="Book Antiqua" w:cs="Calibri"/>
          <w:lang w:val="en-IN"/>
        </w:rPr>
      </w:pPr>
    </w:p>
    <w:p w:rsidR="00582307" w:rsidRPr="005C597E" w:rsidRDefault="00582307" w:rsidP="005A07FE">
      <w:pPr>
        <w:pStyle w:val="ListParagraph"/>
        <w:numPr>
          <w:ilvl w:val="0"/>
          <w:numId w:val="18"/>
        </w:numPr>
        <w:spacing w:after="0" w:line="360" w:lineRule="auto"/>
        <w:ind w:left="709"/>
        <w:contextualSpacing/>
        <w:jc w:val="both"/>
        <w:rPr>
          <w:rFonts w:ascii="Book Antiqua" w:hAnsi="Book Antiqua" w:cs="Calibri"/>
          <w:color w:val="000000"/>
          <w:sz w:val="24"/>
          <w:szCs w:val="24"/>
          <w:lang w:val="en-IN"/>
        </w:rPr>
      </w:pPr>
      <w:r w:rsidRPr="005C597E">
        <w:rPr>
          <w:rFonts w:ascii="Book Antiqua" w:hAnsi="Book Antiqua" w:cs="Calibri"/>
          <w:color w:val="000000"/>
          <w:sz w:val="24"/>
          <w:szCs w:val="24"/>
          <w:lang w:val="en-IN"/>
        </w:rPr>
        <w:t xml:space="preserve">DISS:- FY. 2018-19 (Approved) </w:t>
      </w:r>
      <w:r w:rsidR="00002724">
        <w:rPr>
          <w:rFonts w:ascii="Book Antiqua" w:hAnsi="Book Antiqua" w:cs="Calibri"/>
          <w:color w:val="000000"/>
          <w:sz w:val="24"/>
          <w:szCs w:val="24"/>
          <w:lang w:val="en-IN"/>
        </w:rPr>
        <w:t xml:space="preserve">Rs. </w:t>
      </w:r>
      <w:r w:rsidRPr="005C597E">
        <w:rPr>
          <w:rFonts w:ascii="Book Antiqua" w:hAnsi="Book Antiqua" w:cs="Calibri"/>
          <w:color w:val="000000"/>
          <w:sz w:val="24"/>
          <w:szCs w:val="24"/>
          <w:lang w:val="en-IN"/>
        </w:rPr>
        <w:t>5.00</w:t>
      </w:r>
      <w:r w:rsidR="00002724">
        <w:rPr>
          <w:rFonts w:ascii="Book Antiqua" w:hAnsi="Book Antiqua" w:cs="Calibri"/>
          <w:color w:val="000000"/>
          <w:sz w:val="24"/>
          <w:szCs w:val="24"/>
          <w:lang w:val="en-IN"/>
        </w:rPr>
        <w:t xml:space="preserve"> Crore</w:t>
      </w:r>
      <w:r w:rsidRPr="005C597E">
        <w:rPr>
          <w:rFonts w:ascii="Book Antiqua" w:hAnsi="Book Antiqua" w:cs="Calibri"/>
          <w:color w:val="000000"/>
          <w:sz w:val="24"/>
          <w:szCs w:val="24"/>
          <w:lang w:val="en-IN"/>
        </w:rPr>
        <w:t xml:space="preserve"> – FY. (2018-19) </w:t>
      </w:r>
      <w:r w:rsidR="00002724">
        <w:rPr>
          <w:rFonts w:ascii="Book Antiqua" w:hAnsi="Book Antiqua" w:cs="Calibri"/>
          <w:color w:val="000000"/>
          <w:sz w:val="24"/>
          <w:szCs w:val="24"/>
          <w:lang w:val="en-IN"/>
        </w:rPr>
        <w:t xml:space="preserve">Rs. </w:t>
      </w:r>
      <w:r w:rsidRPr="005C597E">
        <w:rPr>
          <w:rFonts w:ascii="Book Antiqua" w:hAnsi="Book Antiqua" w:cs="Calibri"/>
          <w:color w:val="000000"/>
          <w:sz w:val="24"/>
          <w:szCs w:val="24"/>
          <w:lang w:val="en-IN"/>
        </w:rPr>
        <w:t>19.13</w:t>
      </w:r>
      <w:r w:rsidR="00002724">
        <w:rPr>
          <w:rFonts w:ascii="Book Antiqua" w:hAnsi="Book Antiqua" w:cs="Calibri"/>
          <w:color w:val="000000"/>
          <w:sz w:val="24"/>
          <w:szCs w:val="24"/>
          <w:lang w:val="en-IN"/>
        </w:rPr>
        <w:t xml:space="preserve"> Crore</w:t>
      </w:r>
      <w:r w:rsidRPr="005C597E">
        <w:rPr>
          <w:rFonts w:ascii="Book Antiqua" w:hAnsi="Book Antiqua" w:cs="Calibri"/>
          <w:color w:val="000000"/>
          <w:sz w:val="24"/>
          <w:szCs w:val="24"/>
          <w:lang w:val="en-IN"/>
        </w:rPr>
        <w:t>, Diff. 14.13</w:t>
      </w:r>
      <w:r w:rsidR="00002724">
        <w:rPr>
          <w:rFonts w:ascii="Book Antiqua" w:hAnsi="Book Antiqua" w:cs="Calibri"/>
          <w:color w:val="000000"/>
          <w:sz w:val="24"/>
          <w:szCs w:val="24"/>
          <w:lang w:val="en-IN"/>
        </w:rPr>
        <w:t xml:space="preserve"> Rs. Crore</w:t>
      </w:r>
    </w:p>
    <w:p w:rsidR="00582307" w:rsidRPr="005C597E" w:rsidRDefault="00582307" w:rsidP="005A07FE">
      <w:pPr>
        <w:pStyle w:val="ListParagraph"/>
        <w:spacing w:line="360" w:lineRule="auto"/>
        <w:ind w:left="709"/>
        <w:jc w:val="both"/>
        <w:rPr>
          <w:rFonts w:ascii="Book Antiqua" w:hAnsi="Book Antiqua" w:cs="Calibri"/>
          <w:color w:val="000000"/>
          <w:sz w:val="24"/>
          <w:szCs w:val="24"/>
          <w:lang w:val="en-IN"/>
        </w:rPr>
      </w:pPr>
      <w:r w:rsidRPr="005C597E">
        <w:rPr>
          <w:rFonts w:ascii="Book Antiqua" w:hAnsi="Book Antiqua" w:cs="Calibri"/>
          <w:color w:val="000000"/>
          <w:sz w:val="24"/>
          <w:szCs w:val="24"/>
          <w:lang w:val="en-IN"/>
        </w:rPr>
        <w:t xml:space="preserve">This scheme is provided to shift the HT/LT line and Transformer </w:t>
      </w:r>
      <w:r w:rsidR="007A4DE8" w:rsidRPr="005C597E">
        <w:rPr>
          <w:rFonts w:ascii="Book Antiqua" w:hAnsi="Book Antiqua" w:cs="Calibri"/>
          <w:color w:val="000000"/>
          <w:sz w:val="24"/>
          <w:szCs w:val="24"/>
          <w:lang w:val="en-IN"/>
        </w:rPr>
        <w:t>centre</w:t>
      </w:r>
      <w:r w:rsidRPr="005C597E">
        <w:rPr>
          <w:rFonts w:ascii="Book Antiqua" w:hAnsi="Book Antiqua" w:cs="Calibri"/>
          <w:color w:val="000000"/>
          <w:sz w:val="24"/>
          <w:szCs w:val="24"/>
          <w:lang w:val="en-IN"/>
        </w:rPr>
        <w:t xml:space="preserve"> which obstacles to public place under the Nagarpalika and MahaNagarpalika area.</w:t>
      </w:r>
    </w:p>
    <w:p w:rsidR="00582307" w:rsidRDefault="00582307" w:rsidP="005A07FE">
      <w:pPr>
        <w:pStyle w:val="ListParagraph"/>
        <w:spacing w:line="360" w:lineRule="auto"/>
        <w:ind w:left="709"/>
        <w:jc w:val="both"/>
        <w:rPr>
          <w:rFonts w:ascii="Book Antiqua" w:hAnsi="Book Antiqua" w:cs="Calibri"/>
          <w:color w:val="000000"/>
          <w:sz w:val="24"/>
          <w:szCs w:val="24"/>
          <w:lang w:val="en-IN"/>
        </w:rPr>
      </w:pPr>
      <w:r w:rsidRPr="005C597E">
        <w:rPr>
          <w:rFonts w:ascii="Book Antiqua" w:hAnsi="Book Antiqua" w:cs="Calibri"/>
          <w:color w:val="000000"/>
          <w:sz w:val="24"/>
          <w:szCs w:val="24"/>
          <w:lang w:val="en-IN"/>
        </w:rPr>
        <w:t xml:space="preserve">This scheme is funded by Govt. of Gujarat during the FY: 2018-19, Govt. of Gujarat during the FY 2018-19 Govt. of Gujarat has sanctioned Rs. 100 crores </w:t>
      </w:r>
      <w:r w:rsidR="00002724">
        <w:rPr>
          <w:rFonts w:ascii="Book Antiqua" w:hAnsi="Book Antiqua" w:cs="Calibri"/>
          <w:color w:val="000000"/>
          <w:sz w:val="24"/>
          <w:szCs w:val="24"/>
          <w:lang w:val="en-IN"/>
        </w:rPr>
        <w:t xml:space="preserve">for FY 2018-19 </w:t>
      </w:r>
      <w:r w:rsidRPr="005C597E">
        <w:rPr>
          <w:rFonts w:ascii="Book Antiqua" w:hAnsi="Book Antiqua" w:cs="Calibri"/>
          <w:color w:val="000000"/>
          <w:sz w:val="24"/>
          <w:szCs w:val="24"/>
          <w:lang w:val="en-IN"/>
        </w:rPr>
        <w:t xml:space="preserve">and extent the scope of work for shifting of Distribution Infrastructure obstructing to the existing roads or during road winding in the Rural and Urban areas under the DISS Scheme. </w:t>
      </w:r>
      <w:r w:rsidR="00265136">
        <w:rPr>
          <w:rFonts w:ascii="Book Antiqua" w:hAnsi="Book Antiqua" w:cs="Calibri"/>
          <w:color w:val="000000"/>
          <w:sz w:val="24"/>
          <w:szCs w:val="24"/>
          <w:lang w:val="en-IN"/>
        </w:rPr>
        <w:t xml:space="preserve">Same has been provisionally allocated to UGVCL (Rs. 20 Crore) by </w:t>
      </w:r>
      <w:r w:rsidRPr="005C597E">
        <w:rPr>
          <w:rFonts w:ascii="Book Antiqua" w:hAnsi="Book Antiqua" w:cs="Calibri"/>
          <w:color w:val="000000"/>
          <w:sz w:val="24"/>
          <w:szCs w:val="24"/>
          <w:lang w:val="en-IN"/>
        </w:rPr>
        <w:t xml:space="preserve">GUVNL </w:t>
      </w:r>
      <w:r w:rsidR="00265136">
        <w:rPr>
          <w:rFonts w:ascii="Book Antiqua" w:hAnsi="Book Antiqua" w:cs="Calibri"/>
          <w:color w:val="000000"/>
          <w:sz w:val="24"/>
          <w:szCs w:val="24"/>
          <w:lang w:val="en-IN"/>
        </w:rPr>
        <w:t xml:space="preserve"> in FY 2018-19</w:t>
      </w:r>
      <w:r w:rsidRPr="005C597E">
        <w:rPr>
          <w:rFonts w:ascii="Book Antiqua" w:hAnsi="Book Antiqua" w:cs="Calibri"/>
          <w:color w:val="000000"/>
          <w:sz w:val="24"/>
          <w:szCs w:val="24"/>
          <w:lang w:val="en-IN"/>
        </w:rPr>
        <w:t>.</w:t>
      </w:r>
    </w:p>
    <w:p w:rsidR="002506EA" w:rsidRDefault="002506EA" w:rsidP="002506EA">
      <w:pPr>
        <w:pStyle w:val="ListParagraph"/>
        <w:numPr>
          <w:ilvl w:val="0"/>
          <w:numId w:val="18"/>
        </w:numPr>
        <w:spacing w:after="0" w:line="360" w:lineRule="auto"/>
        <w:ind w:left="709" w:hanging="502"/>
        <w:contextualSpacing/>
        <w:jc w:val="both"/>
        <w:rPr>
          <w:rFonts w:ascii="Book Antiqua" w:hAnsi="Book Antiqua" w:cs="Calibri"/>
          <w:color w:val="000000"/>
          <w:sz w:val="24"/>
          <w:szCs w:val="24"/>
          <w:lang w:val="en-IN"/>
        </w:rPr>
      </w:pPr>
      <w:r w:rsidRPr="002506EA">
        <w:rPr>
          <w:rFonts w:ascii="Book Antiqua" w:hAnsi="Book Antiqua" w:cs="Calibri"/>
          <w:color w:val="000000"/>
          <w:sz w:val="24"/>
          <w:szCs w:val="24"/>
          <w:lang w:val="en-IN"/>
        </w:rPr>
        <w:t xml:space="preserve">Solar Homelight- MNRE has </w:t>
      </w:r>
      <w:r w:rsidR="00002724" w:rsidRPr="002506EA">
        <w:rPr>
          <w:rFonts w:ascii="Book Antiqua" w:hAnsi="Book Antiqua" w:cs="Calibri"/>
          <w:color w:val="000000"/>
          <w:sz w:val="24"/>
          <w:szCs w:val="24"/>
          <w:lang w:val="en-IN"/>
        </w:rPr>
        <w:t>stopped</w:t>
      </w:r>
      <w:r w:rsidRPr="002506EA">
        <w:rPr>
          <w:rFonts w:ascii="Book Antiqua" w:hAnsi="Book Antiqua" w:cs="Calibri"/>
          <w:color w:val="000000"/>
          <w:sz w:val="24"/>
          <w:szCs w:val="24"/>
          <w:lang w:val="en-IN"/>
        </w:rPr>
        <w:t xml:space="preserve"> grant for solar home light vide e mail dt. 29.8.2018. GUVNL proposed solar home light without financial assistance from Central Government </w:t>
      </w:r>
      <w:r w:rsidRPr="002506EA">
        <w:rPr>
          <w:rFonts w:ascii="Book Antiqua" w:hAnsi="Book Antiqua" w:cs="Calibri"/>
          <w:color w:val="000000"/>
          <w:sz w:val="24"/>
          <w:szCs w:val="24"/>
          <w:lang w:val="en-IN"/>
        </w:rPr>
        <w:lastRenderedPageBreak/>
        <w:t>but rejected by GOG financial department. Hence, no target given by GUVNL for FY 2018-19. Hence deviation observed.</w:t>
      </w:r>
    </w:p>
    <w:p w:rsidR="00A20677" w:rsidRPr="00B9383C" w:rsidRDefault="00A20677" w:rsidP="00B9383C">
      <w:pPr>
        <w:spacing w:line="360" w:lineRule="auto"/>
        <w:jc w:val="both"/>
        <w:rPr>
          <w:rFonts w:ascii="Book Antiqua" w:hAnsi="Book Antiqua"/>
          <w:color w:val="000000"/>
        </w:rPr>
      </w:pPr>
    </w:p>
    <w:p w:rsidR="00D20D68" w:rsidRPr="0009292B" w:rsidRDefault="00D20D68" w:rsidP="005C597E">
      <w:pPr>
        <w:numPr>
          <w:ilvl w:val="0"/>
          <w:numId w:val="6"/>
        </w:numPr>
        <w:spacing w:after="240" w:line="276" w:lineRule="auto"/>
        <w:ind w:left="630"/>
        <w:jc w:val="both"/>
        <w:rPr>
          <w:b/>
          <w:bCs/>
          <w:color w:val="000000"/>
        </w:rPr>
      </w:pPr>
      <w:r w:rsidRPr="0009292B">
        <w:rPr>
          <w:rFonts w:ascii="Book Antiqua" w:hAnsi="Book Antiqua"/>
          <w:b/>
          <w:bCs/>
          <w:color w:val="000000"/>
        </w:rPr>
        <w:t>The Commission in MYT Order dated 31 March 2017 had approved Scheme-wise capital expenditure and capitalization for FY 2018-19. As against this approval, UGVCL should submit the following details:</w:t>
      </w:r>
    </w:p>
    <w:p w:rsidR="00D20D68" w:rsidRPr="0009292B" w:rsidRDefault="00D20D68" w:rsidP="005C597E">
      <w:pPr>
        <w:numPr>
          <w:ilvl w:val="1"/>
          <w:numId w:val="6"/>
        </w:numPr>
        <w:spacing w:after="240" w:line="276" w:lineRule="auto"/>
        <w:jc w:val="both"/>
        <w:rPr>
          <w:rFonts w:eastAsia="Times New Roman"/>
          <w:b/>
          <w:bCs/>
          <w:color w:val="000000"/>
        </w:rPr>
      </w:pPr>
      <w:r w:rsidRPr="0009292B">
        <w:rPr>
          <w:rFonts w:ascii="Book Antiqua" w:eastAsia="Times New Roman" w:hAnsi="Book Antiqua"/>
          <w:b/>
          <w:bCs/>
          <w:color w:val="000000"/>
        </w:rPr>
        <w:t>Actual scheme-wise Capital expenditure incurred during FY 2016-17 to FY 2018-19 vis-à-vis capital expenditure approved</w:t>
      </w:r>
    </w:p>
    <w:p w:rsidR="00D20D68" w:rsidRPr="0009292B" w:rsidRDefault="00D20D68" w:rsidP="005C597E">
      <w:pPr>
        <w:numPr>
          <w:ilvl w:val="1"/>
          <w:numId w:val="6"/>
        </w:numPr>
        <w:spacing w:after="240" w:line="276" w:lineRule="auto"/>
        <w:jc w:val="both"/>
        <w:rPr>
          <w:rFonts w:eastAsia="Times New Roman"/>
          <w:b/>
          <w:bCs/>
          <w:color w:val="000000"/>
        </w:rPr>
      </w:pPr>
      <w:r w:rsidRPr="0009292B">
        <w:rPr>
          <w:rFonts w:ascii="Book Antiqua" w:eastAsia="Times New Roman" w:hAnsi="Book Antiqua"/>
          <w:b/>
          <w:bCs/>
          <w:color w:val="000000"/>
        </w:rPr>
        <w:t>Actual scheme-wise Capitalisation for FY 2016-17 to FY 2018-19 vis-à-vis capitalisation approved</w:t>
      </w:r>
    </w:p>
    <w:p w:rsidR="00D20D68" w:rsidRPr="00E60EED" w:rsidRDefault="00D20D68" w:rsidP="005C597E">
      <w:pPr>
        <w:numPr>
          <w:ilvl w:val="1"/>
          <w:numId w:val="6"/>
        </w:numPr>
        <w:spacing w:after="240" w:line="276" w:lineRule="auto"/>
        <w:jc w:val="both"/>
        <w:rPr>
          <w:rFonts w:eastAsia="Times New Roman"/>
          <w:b/>
          <w:bCs/>
          <w:color w:val="000000"/>
        </w:rPr>
      </w:pPr>
      <w:r w:rsidRPr="0009292B">
        <w:rPr>
          <w:rFonts w:ascii="Book Antiqua" w:eastAsia="Times New Roman" w:hAnsi="Book Antiqua"/>
          <w:b/>
          <w:bCs/>
          <w:color w:val="000000"/>
        </w:rPr>
        <w:t>Actual scheme-wise funding of capitalised works with break-up of Grants, Loans, Consumer Contribution, Equity, etc.</w:t>
      </w:r>
    </w:p>
    <w:p w:rsidR="00E60EED" w:rsidRDefault="00E60EED" w:rsidP="00E60EED">
      <w:pPr>
        <w:spacing w:after="240"/>
        <w:jc w:val="both"/>
        <w:rPr>
          <w:rFonts w:ascii="Book Antiqua" w:eastAsia="Times New Roman" w:hAnsi="Book Antiqua"/>
          <w:color w:val="000000"/>
        </w:rPr>
      </w:pPr>
      <w:r w:rsidRPr="00E60EED">
        <w:rPr>
          <w:rFonts w:ascii="Book Antiqua" w:eastAsia="Times New Roman" w:hAnsi="Book Antiqua"/>
          <w:b/>
          <w:bCs/>
          <w:i/>
          <w:iCs/>
          <w:color w:val="000000"/>
        </w:rPr>
        <w:t>Compliance: -</w:t>
      </w:r>
      <w:r w:rsidRPr="00E60EED">
        <w:rPr>
          <w:rFonts w:ascii="Book Antiqua" w:eastAsia="Times New Roman" w:hAnsi="Book Antiqua"/>
          <w:color w:val="000000"/>
        </w:rPr>
        <w:t>Requested information is provided in Annexure – D</w:t>
      </w:r>
    </w:p>
    <w:p w:rsidR="00E25147" w:rsidRPr="00E60EED" w:rsidRDefault="00E25147" w:rsidP="00E60EED">
      <w:pPr>
        <w:spacing w:after="240"/>
        <w:jc w:val="both"/>
        <w:rPr>
          <w:rFonts w:ascii="Book Antiqua" w:eastAsia="Times New Roman" w:hAnsi="Book Antiqua"/>
          <w:color w:val="000000"/>
        </w:rPr>
      </w:pPr>
    </w:p>
    <w:p w:rsidR="00D20D68" w:rsidRPr="005F7D3F" w:rsidRDefault="00D20D68">
      <w:pPr>
        <w:numPr>
          <w:ilvl w:val="1"/>
          <w:numId w:val="6"/>
        </w:numPr>
        <w:spacing w:after="240" w:line="276" w:lineRule="auto"/>
        <w:jc w:val="both"/>
        <w:rPr>
          <w:rFonts w:eastAsia="Times New Roman"/>
          <w:b/>
          <w:bCs/>
          <w:color w:val="000000"/>
        </w:rPr>
      </w:pPr>
      <w:bookmarkStart w:id="4" w:name="_Hlk531869599"/>
      <w:r w:rsidRPr="005F7D3F">
        <w:rPr>
          <w:rFonts w:ascii="Book Antiqua" w:eastAsia="Times New Roman" w:hAnsi="Book Antiqua"/>
          <w:b/>
          <w:bCs/>
          <w:color w:val="000000"/>
        </w:rPr>
        <w:t>Cost-benefit analysis for capitalised works</w:t>
      </w:r>
      <w:bookmarkEnd w:id="4"/>
    </w:p>
    <w:p w:rsidR="00E25147" w:rsidRPr="00930547" w:rsidRDefault="00E25147" w:rsidP="00160C26">
      <w:pPr>
        <w:spacing w:after="240" w:line="276" w:lineRule="auto"/>
        <w:ind w:left="630"/>
        <w:jc w:val="both"/>
        <w:rPr>
          <w:rFonts w:eastAsia="Times New Roman"/>
          <w:b/>
          <w:bCs/>
          <w:color w:val="000000"/>
        </w:rPr>
      </w:pPr>
      <w:r w:rsidRPr="005F7D3F">
        <w:rPr>
          <w:rFonts w:ascii="Book Antiqua" w:eastAsia="Times New Roman" w:hAnsi="Book Antiqua"/>
          <w:b/>
          <w:bCs/>
          <w:i/>
          <w:iCs/>
          <w:color w:val="000000"/>
        </w:rPr>
        <w:t>Compliance: -</w:t>
      </w:r>
      <w:r w:rsidR="00930547" w:rsidRPr="005F7D3F">
        <w:rPr>
          <w:rFonts w:ascii="Book Antiqua" w:eastAsia="Times New Roman" w:hAnsi="Book Antiqua"/>
          <w:color w:val="000000"/>
        </w:rPr>
        <w:t>UGVCL</w:t>
      </w:r>
      <w:r w:rsidR="00930547" w:rsidRPr="00930547">
        <w:rPr>
          <w:rFonts w:ascii="Book Antiqua" w:eastAsia="Times New Roman" w:hAnsi="Book Antiqua"/>
          <w:color w:val="000000"/>
        </w:rPr>
        <w:t xml:space="preserve">, like other Discoms, has universal service obligation to serve its consumers. </w:t>
      </w:r>
      <w:r w:rsidR="00930547">
        <w:rPr>
          <w:rFonts w:ascii="Book Antiqua" w:eastAsia="Times New Roman" w:hAnsi="Book Antiqua"/>
          <w:color w:val="000000"/>
        </w:rPr>
        <w:t>U</w:t>
      </w:r>
      <w:r w:rsidR="00930547" w:rsidRPr="00930547">
        <w:rPr>
          <w:rFonts w:ascii="Book Antiqua" w:eastAsia="Times New Roman" w:hAnsi="Book Antiqua"/>
          <w:color w:val="000000"/>
        </w:rPr>
        <w:t xml:space="preserve">GVCL must undertake capex to serve its obligation. Moreover, most of the capex schemes of </w:t>
      </w:r>
      <w:r w:rsidR="00930547">
        <w:rPr>
          <w:rFonts w:ascii="Book Antiqua" w:eastAsia="Times New Roman" w:hAnsi="Book Antiqua"/>
          <w:color w:val="000000"/>
        </w:rPr>
        <w:t>U</w:t>
      </w:r>
      <w:r w:rsidR="00930547" w:rsidRPr="00930547">
        <w:rPr>
          <w:rFonts w:ascii="Book Antiqua" w:eastAsia="Times New Roman" w:hAnsi="Book Antiqua"/>
          <w:color w:val="000000"/>
        </w:rPr>
        <w:t xml:space="preserve">GVCL </w:t>
      </w:r>
      <w:r w:rsidR="00930547">
        <w:rPr>
          <w:rFonts w:ascii="Book Antiqua" w:eastAsia="Times New Roman" w:hAnsi="Book Antiqua"/>
          <w:color w:val="000000"/>
        </w:rPr>
        <w:t>are</w:t>
      </w:r>
      <w:r w:rsidR="00930547" w:rsidRPr="00930547">
        <w:rPr>
          <w:rFonts w:ascii="Book Antiqua" w:eastAsia="Times New Roman" w:hAnsi="Book Antiqua"/>
          <w:color w:val="000000"/>
        </w:rPr>
        <w:t xml:space="preserve"> carried out under various government approved schemes like IPDS, DDUGJY, R-APDRP. which have clear objectives and receive financial assistance. Benefit of such schemes is increased revenue due to addition of new consumers and serving of universal service obligation of the Discom</w:t>
      </w:r>
      <w:r w:rsidR="00930547" w:rsidRPr="00930547">
        <w:rPr>
          <w:rFonts w:ascii="Book Antiqua" w:eastAsia="Times New Roman" w:hAnsi="Book Antiqua"/>
          <w:b/>
          <w:bCs/>
          <w:i/>
          <w:iCs/>
          <w:color w:val="000000"/>
        </w:rPr>
        <w:t>.</w:t>
      </w:r>
    </w:p>
    <w:p w:rsidR="0009292B" w:rsidRPr="007D4215" w:rsidRDefault="0009292B" w:rsidP="005C597E">
      <w:pPr>
        <w:spacing w:after="240" w:line="276" w:lineRule="auto"/>
        <w:jc w:val="both"/>
        <w:rPr>
          <w:rFonts w:ascii="Book Antiqua" w:eastAsia="Times New Roman" w:hAnsi="Book Antiqua"/>
          <w:color w:val="000000"/>
        </w:rPr>
      </w:pPr>
    </w:p>
    <w:p w:rsidR="00D20D68" w:rsidRPr="0009292B" w:rsidRDefault="00D20D68">
      <w:pPr>
        <w:numPr>
          <w:ilvl w:val="0"/>
          <w:numId w:val="6"/>
        </w:numPr>
        <w:spacing w:after="240" w:line="276" w:lineRule="auto"/>
        <w:ind w:left="630"/>
        <w:jc w:val="both"/>
        <w:rPr>
          <w:b/>
          <w:bCs/>
          <w:color w:val="000000"/>
        </w:rPr>
      </w:pPr>
      <w:r w:rsidRPr="0009292B">
        <w:rPr>
          <w:rFonts w:ascii="Book Antiqua" w:hAnsi="Book Antiqua"/>
          <w:b/>
          <w:bCs/>
          <w:color w:val="000000"/>
        </w:rPr>
        <w:t>UGVCL should give head-wise reasons for significant increase in employee cost as compared to that approved, apart from the arrears of Rs. 74.37 Crore paid during FY 2018-19.</w:t>
      </w:r>
    </w:p>
    <w:p w:rsidR="00582307" w:rsidRPr="007D4215" w:rsidRDefault="00582307" w:rsidP="00582307">
      <w:pPr>
        <w:spacing w:after="240" w:line="276" w:lineRule="auto"/>
        <w:jc w:val="both"/>
        <w:rPr>
          <w:rFonts w:ascii="Book Antiqua" w:hAnsi="Book Antiqua"/>
          <w:b/>
          <w:bCs/>
          <w:i/>
          <w:iCs/>
          <w:color w:val="000000"/>
        </w:rPr>
      </w:pPr>
      <w:r w:rsidRPr="0009292B">
        <w:rPr>
          <w:rFonts w:ascii="Book Antiqua" w:hAnsi="Book Antiqua"/>
          <w:b/>
          <w:bCs/>
          <w:i/>
          <w:iCs/>
          <w:color w:val="000000"/>
        </w:rPr>
        <w:t>Compliance: -</w:t>
      </w:r>
    </w:p>
    <w:p w:rsidR="00432021" w:rsidRDefault="00432021" w:rsidP="007132AB">
      <w:pPr>
        <w:spacing w:after="240" w:line="276" w:lineRule="auto"/>
        <w:ind w:left="709"/>
        <w:jc w:val="both"/>
        <w:rPr>
          <w:rFonts w:ascii="Book Antiqua" w:hAnsi="Book Antiqua"/>
          <w:color w:val="000000"/>
        </w:rPr>
      </w:pPr>
      <w:r w:rsidRPr="005C597E">
        <w:rPr>
          <w:rFonts w:ascii="Book Antiqua" w:hAnsi="Book Antiqua"/>
          <w:color w:val="000000"/>
        </w:rPr>
        <w:t>Actual growth rate of Employee Cost is 12.97%</w:t>
      </w:r>
      <w:r w:rsidR="00E25147">
        <w:rPr>
          <w:rFonts w:ascii="Book Antiqua" w:hAnsi="Book Antiqua"/>
          <w:color w:val="000000"/>
        </w:rPr>
        <w:t xml:space="preserve"> against the </w:t>
      </w:r>
      <w:r w:rsidRPr="005C597E">
        <w:rPr>
          <w:rFonts w:ascii="Book Antiqua" w:hAnsi="Book Antiqua"/>
          <w:color w:val="000000"/>
        </w:rPr>
        <w:t xml:space="preserve">5.72% growth rate taken (as per MYT) at thetime of projection. So, approved figure of FY 2018-19 is Rs.446.81 crores </w:t>
      </w:r>
      <w:r w:rsidR="00930547">
        <w:rPr>
          <w:rFonts w:ascii="Book Antiqua" w:hAnsi="Book Antiqua"/>
          <w:color w:val="000000"/>
        </w:rPr>
        <w:t>vis-à-vis</w:t>
      </w:r>
      <w:r w:rsidRPr="005C597E">
        <w:rPr>
          <w:rFonts w:ascii="Book Antiqua" w:hAnsi="Book Antiqua"/>
          <w:color w:val="000000"/>
        </w:rPr>
        <w:t xml:space="preserve"> actual Rs.540.55 crores. Further, it is to state that the increase in expense is on account of (1</w:t>
      </w:r>
      <w:r w:rsidRPr="00930547">
        <w:rPr>
          <w:rFonts w:ascii="Book Antiqua" w:hAnsi="Book Antiqua"/>
          <w:color w:val="000000"/>
        </w:rPr>
        <w:t>) Inflationary increase</w:t>
      </w:r>
      <w:r w:rsidR="00E25147" w:rsidRPr="00930547">
        <w:rPr>
          <w:rFonts w:ascii="Book Antiqua" w:hAnsi="Book Antiqua"/>
          <w:color w:val="000000"/>
        </w:rPr>
        <w:t>&amp; Base pay revision as per the 7</w:t>
      </w:r>
      <w:r w:rsidR="00E25147" w:rsidRPr="00930547">
        <w:rPr>
          <w:rFonts w:ascii="Book Antiqua" w:hAnsi="Book Antiqua"/>
          <w:color w:val="000000"/>
          <w:vertAlign w:val="superscript"/>
        </w:rPr>
        <w:t>th</w:t>
      </w:r>
      <w:r w:rsidR="00E25147" w:rsidRPr="00930547">
        <w:rPr>
          <w:rFonts w:ascii="Book Antiqua" w:hAnsi="Book Antiqua"/>
          <w:color w:val="000000"/>
        </w:rPr>
        <w:t xml:space="preserve"> pay Commission </w:t>
      </w:r>
      <w:r w:rsidR="00930547" w:rsidRPr="00930547">
        <w:rPr>
          <w:rFonts w:ascii="Book Antiqua" w:hAnsi="Book Antiqua"/>
          <w:color w:val="000000"/>
        </w:rPr>
        <w:t>recommendation</w:t>
      </w:r>
      <w:r w:rsidRPr="00930547">
        <w:rPr>
          <w:rFonts w:ascii="Book Antiqua" w:hAnsi="Book Antiqua"/>
          <w:color w:val="000000"/>
        </w:rPr>
        <w:t xml:space="preserve"> (2</w:t>
      </w:r>
      <w:r w:rsidRPr="005C597E">
        <w:rPr>
          <w:rFonts w:ascii="Book Antiqua" w:hAnsi="Book Antiqua"/>
          <w:color w:val="000000"/>
        </w:rPr>
        <w:t xml:space="preserve">) increase in number of employees (3) Rate of Dearness Allowance and promotions and fresh recruitment etc as compared to base years and hence, there is a variation in approved </w:t>
      </w:r>
      <w:r w:rsidR="00BE42AD">
        <w:rPr>
          <w:rFonts w:ascii="Book Antiqua" w:hAnsi="Book Antiqua"/>
          <w:color w:val="000000"/>
        </w:rPr>
        <w:t>vs</w:t>
      </w:r>
      <w:r w:rsidRPr="005C597E">
        <w:rPr>
          <w:rFonts w:ascii="Book Antiqua" w:hAnsi="Book Antiqua"/>
          <w:color w:val="000000"/>
        </w:rPr>
        <w:t xml:space="preserve"> actual expenses.</w:t>
      </w:r>
    </w:p>
    <w:p w:rsidR="004020A0" w:rsidRPr="005C597E" w:rsidRDefault="004020A0" w:rsidP="005C597E">
      <w:pPr>
        <w:spacing w:after="240" w:line="276" w:lineRule="auto"/>
        <w:ind w:left="709"/>
        <w:jc w:val="both"/>
        <w:rPr>
          <w:rFonts w:ascii="Book Antiqua" w:hAnsi="Book Antiqua"/>
          <w:color w:val="000000"/>
        </w:rPr>
      </w:pPr>
    </w:p>
    <w:p w:rsidR="00B547E7" w:rsidRPr="005F48ED" w:rsidRDefault="00D20D68" w:rsidP="005C597E">
      <w:pPr>
        <w:numPr>
          <w:ilvl w:val="0"/>
          <w:numId w:val="6"/>
        </w:numPr>
        <w:spacing w:after="240" w:line="276" w:lineRule="auto"/>
        <w:ind w:left="629" w:hanging="357"/>
        <w:jc w:val="both"/>
        <w:rPr>
          <w:b/>
          <w:bCs/>
          <w:color w:val="000000"/>
        </w:rPr>
      </w:pPr>
      <w:r w:rsidRPr="005F48ED">
        <w:rPr>
          <w:rFonts w:ascii="Book Antiqua" w:hAnsi="Book Antiqua"/>
          <w:b/>
          <w:bCs/>
          <w:color w:val="000000"/>
        </w:rPr>
        <w:lastRenderedPageBreak/>
        <w:t>UGVCL should reconcile the amount reflecting in annual accounts for employee expenses (Rs. 469.09 Crore), as against the amount claimed in Truing-up Petition (Rs. 540.55 Crore).</w:t>
      </w:r>
    </w:p>
    <w:p w:rsidR="00D20D68" w:rsidRPr="005F48ED" w:rsidRDefault="00B547E7" w:rsidP="00B547E7">
      <w:pPr>
        <w:spacing w:after="240" w:line="276" w:lineRule="auto"/>
        <w:ind w:left="142"/>
        <w:contextualSpacing/>
        <w:jc w:val="both"/>
        <w:rPr>
          <w:rFonts w:ascii="Book Antiqua" w:hAnsi="Book Antiqua"/>
          <w:b/>
          <w:bCs/>
          <w:i/>
          <w:iCs/>
          <w:lang w:val="en-GB"/>
        </w:rPr>
      </w:pPr>
      <w:r w:rsidRPr="005F48ED">
        <w:rPr>
          <w:rFonts w:ascii="Book Antiqua" w:hAnsi="Book Antiqua"/>
          <w:b/>
          <w:bCs/>
          <w:i/>
          <w:iCs/>
          <w:lang w:val="en-GB"/>
        </w:rPr>
        <w:t>Compliance:</w:t>
      </w:r>
      <w:r w:rsidR="004020A0" w:rsidRPr="005F48ED">
        <w:rPr>
          <w:rFonts w:ascii="Book Antiqua" w:hAnsi="Book Antiqua"/>
          <w:b/>
          <w:bCs/>
          <w:i/>
          <w:iCs/>
          <w:lang w:val="en-GB"/>
        </w:rPr>
        <w:t xml:space="preserve"> -</w:t>
      </w:r>
    </w:p>
    <w:p w:rsidR="00085DF7" w:rsidRDefault="00A25C26" w:rsidP="005C597E">
      <w:pPr>
        <w:spacing w:before="240" w:after="240" w:line="276" w:lineRule="auto"/>
        <w:ind w:left="709"/>
        <w:jc w:val="both"/>
        <w:rPr>
          <w:rFonts w:ascii="Book Antiqua" w:hAnsi="Book Antiqua"/>
          <w:color w:val="000000"/>
        </w:rPr>
      </w:pPr>
      <w:r w:rsidRPr="005F48ED">
        <w:rPr>
          <w:rFonts w:ascii="Book Antiqua" w:hAnsi="Book Antiqua"/>
          <w:color w:val="000000"/>
        </w:rPr>
        <w:t>A</w:t>
      </w:r>
      <w:r w:rsidR="00FF0BB9" w:rsidRPr="005F48ED">
        <w:rPr>
          <w:rFonts w:ascii="Book Antiqua" w:hAnsi="Book Antiqua"/>
          <w:color w:val="000000"/>
        </w:rPr>
        <w:t>s submitted in para. 3.10.</w:t>
      </w:r>
      <w:r w:rsidRPr="005F48ED">
        <w:rPr>
          <w:rFonts w:ascii="Book Antiqua" w:hAnsi="Book Antiqua"/>
          <w:color w:val="000000"/>
        </w:rPr>
        <w:t>6</w:t>
      </w:r>
      <w:r w:rsidR="00FF0BB9" w:rsidRPr="005F48ED">
        <w:rPr>
          <w:rFonts w:ascii="Book Antiqua" w:hAnsi="Book Antiqua"/>
          <w:color w:val="000000"/>
        </w:rPr>
        <w:t xml:space="preserve"> of the Petition, provision made towards impact of 7th Pay Commission of Rs. </w:t>
      </w:r>
      <w:r w:rsidR="00006F78" w:rsidRPr="005F48ED">
        <w:rPr>
          <w:rFonts w:ascii="Book Antiqua" w:hAnsi="Book Antiqua"/>
          <w:color w:val="000000"/>
        </w:rPr>
        <w:t>41</w:t>
      </w:r>
      <w:r w:rsidR="00FF0BB9" w:rsidRPr="005F48ED">
        <w:rPr>
          <w:rFonts w:ascii="Book Antiqua" w:hAnsi="Book Antiqua"/>
          <w:color w:val="000000"/>
        </w:rPr>
        <w:t>.</w:t>
      </w:r>
      <w:r w:rsidR="00006F78" w:rsidRPr="005F48ED">
        <w:rPr>
          <w:rFonts w:ascii="Book Antiqua" w:hAnsi="Book Antiqua"/>
          <w:color w:val="000000"/>
        </w:rPr>
        <w:t>68</w:t>
      </w:r>
      <w:r w:rsidR="00FF0BB9" w:rsidRPr="005F48ED">
        <w:rPr>
          <w:rFonts w:ascii="Book Antiqua" w:hAnsi="Book Antiqua"/>
          <w:color w:val="000000"/>
        </w:rPr>
        <w:t xml:space="preserve"> Crore is deducted from employee expenses, because actual payment is not done. The Petitioner will submit expense done out of this provision of Rs. </w:t>
      </w:r>
      <w:r w:rsidR="00006F78" w:rsidRPr="005F48ED">
        <w:rPr>
          <w:rFonts w:ascii="Book Antiqua" w:hAnsi="Book Antiqua"/>
          <w:color w:val="000000"/>
        </w:rPr>
        <w:t>41.68</w:t>
      </w:r>
      <w:r w:rsidR="00FF0BB9" w:rsidRPr="005F48ED">
        <w:rPr>
          <w:rFonts w:ascii="Book Antiqua" w:hAnsi="Book Antiqua"/>
          <w:color w:val="000000"/>
        </w:rPr>
        <w:t xml:space="preserve"> Crore as and when the actual expenses are incurred from it. </w:t>
      </w:r>
    </w:p>
    <w:p w:rsidR="00085DF7" w:rsidRDefault="00FF0BB9" w:rsidP="005C597E">
      <w:pPr>
        <w:spacing w:before="240" w:after="240" w:line="276" w:lineRule="auto"/>
        <w:ind w:left="709"/>
        <w:jc w:val="both"/>
        <w:rPr>
          <w:rFonts w:ascii="Book Antiqua" w:hAnsi="Book Antiqua"/>
          <w:color w:val="000000"/>
        </w:rPr>
      </w:pPr>
      <w:r w:rsidRPr="005F48ED">
        <w:rPr>
          <w:rFonts w:ascii="Book Antiqua" w:hAnsi="Book Antiqua"/>
          <w:color w:val="000000"/>
        </w:rPr>
        <w:t xml:space="preserve">The Petitioner has added Re-measurement of the defined benefit plans of Rs. </w:t>
      </w:r>
      <w:r w:rsidR="003E44E3" w:rsidRPr="005F48ED">
        <w:rPr>
          <w:rFonts w:ascii="Book Antiqua" w:hAnsi="Book Antiqua"/>
          <w:color w:val="000000"/>
        </w:rPr>
        <w:t>33</w:t>
      </w:r>
      <w:r w:rsidRPr="005F48ED">
        <w:rPr>
          <w:rFonts w:ascii="Book Antiqua" w:hAnsi="Book Antiqua"/>
          <w:color w:val="000000"/>
        </w:rPr>
        <w:t>.</w:t>
      </w:r>
      <w:r w:rsidR="003E44E3" w:rsidRPr="005F48ED">
        <w:rPr>
          <w:rFonts w:ascii="Book Antiqua" w:hAnsi="Book Antiqua"/>
          <w:color w:val="000000"/>
        </w:rPr>
        <w:t>18</w:t>
      </w:r>
      <w:r w:rsidRPr="005F48ED">
        <w:rPr>
          <w:rFonts w:ascii="Book Antiqua" w:hAnsi="Book Antiqua"/>
          <w:color w:val="000000"/>
        </w:rPr>
        <w:t xml:space="preserve"> Crore from Profit &amp; Loss account for FY 2018-19 in Employee Expenses. </w:t>
      </w:r>
    </w:p>
    <w:p w:rsidR="00FF0BB9" w:rsidRPr="007D4215" w:rsidRDefault="005F48ED" w:rsidP="005C597E">
      <w:pPr>
        <w:spacing w:before="240" w:after="240" w:line="276" w:lineRule="auto"/>
        <w:ind w:left="709"/>
        <w:jc w:val="both"/>
        <w:rPr>
          <w:rFonts w:ascii="Book Antiqua" w:hAnsi="Book Antiqua"/>
          <w:color w:val="000000"/>
        </w:rPr>
      </w:pPr>
      <w:r w:rsidRPr="00BE42AD">
        <w:rPr>
          <w:rFonts w:ascii="Book Antiqua" w:hAnsi="Book Antiqua"/>
          <w:lang w:val="en-GB"/>
        </w:rPr>
        <w:t>Employee Expenses Capitalised</w:t>
      </w:r>
      <w:r>
        <w:rPr>
          <w:rFonts w:ascii="Book Antiqua" w:hAnsi="Book Antiqua"/>
          <w:color w:val="000000"/>
        </w:rPr>
        <w:t xml:space="preserve">have been deducted separately under head ‘Other Expenses Capitalised’ in the Petition instead of considering as part of Employee Expenses. </w:t>
      </w:r>
      <w:r w:rsidR="00FF0BB9" w:rsidRPr="005F48ED">
        <w:rPr>
          <w:rFonts w:ascii="Book Antiqua" w:hAnsi="Book Antiqua"/>
          <w:color w:val="000000"/>
        </w:rPr>
        <w:t>Accordingly, Employee Expenses are reconciled as shown in table below.</w:t>
      </w:r>
    </w:p>
    <w:tbl>
      <w:tblPr>
        <w:tblStyle w:val="TableGrid"/>
        <w:tblW w:w="0" w:type="auto"/>
        <w:tblInd w:w="817" w:type="dxa"/>
        <w:tblLook w:val="04A0"/>
      </w:tblPr>
      <w:tblGrid>
        <w:gridCol w:w="6237"/>
        <w:gridCol w:w="2390"/>
      </w:tblGrid>
      <w:tr w:rsidR="00F26BE7" w:rsidRPr="00BE42AD" w:rsidTr="005C597E">
        <w:tc>
          <w:tcPr>
            <w:tcW w:w="6237" w:type="dxa"/>
            <w:shd w:val="clear" w:color="auto" w:fill="FABF8F" w:themeFill="accent6" w:themeFillTint="99"/>
          </w:tcPr>
          <w:p w:rsidR="00F26BE7" w:rsidRPr="00BE42AD" w:rsidRDefault="00F26BE7" w:rsidP="00D1190D">
            <w:pPr>
              <w:spacing w:line="312" w:lineRule="auto"/>
              <w:jc w:val="both"/>
              <w:rPr>
                <w:rFonts w:ascii="Book Antiqua" w:hAnsi="Book Antiqua"/>
                <w:lang w:val="en-GB"/>
              </w:rPr>
            </w:pPr>
            <w:r w:rsidRPr="00BE42AD">
              <w:rPr>
                <w:rFonts w:ascii="Book Antiqua" w:hAnsi="Book Antiqua"/>
                <w:b/>
                <w:bCs/>
                <w:lang w:val="en-GB"/>
              </w:rPr>
              <w:t>Particulars</w:t>
            </w:r>
          </w:p>
        </w:tc>
        <w:tc>
          <w:tcPr>
            <w:tcW w:w="2390" w:type="dxa"/>
            <w:shd w:val="clear" w:color="auto" w:fill="FABF8F" w:themeFill="accent6" w:themeFillTint="99"/>
          </w:tcPr>
          <w:p w:rsidR="00F26BE7" w:rsidRPr="00BE42AD" w:rsidRDefault="00F26BE7" w:rsidP="00D1190D">
            <w:pPr>
              <w:spacing w:line="312" w:lineRule="auto"/>
              <w:jc w:val="both"/>
              <w:rPr>
                <w:rFonts w:ascii="Book Antiqua" w:hAnsi="Book Antiqua"/>
                <w:lang w:val="en-GB"/>
              </w:rPr>
            </w:pPr>
            <w:r w:rsidRPr="00BE42AD">
              <w:rPr>
                <w:rFonts w:ascii="Book Antiqua" w:hAnsi="Book Antiqua"/>
                <w:b/>
                <w:bCs/>
                <w:lang w:val="en-GB"/>
              </w:rPr>
              <w:t>Amount (Rs. Crore)</w:t>
            </w:r>
          </w:p>
        </w:tc>
      </w:tr>
      <w:tr w:rsidR="00F26BE7" w:rsidRPr="00BE42AD" w:rsidTr="005C597E">
        <w:tc>
          <w:tcPr>
            <w:tcW w:w="6237" w:type="dxa"/>
          </w:tcPr>
          <w:p w:rsidR="00F26BE7" w:rsidRPr="00BE42AD" w:rsidRDefault="00F26BE7" w:rsidP="005C597E">
            <w:pPr>
              <w:spacing w:line="312" w:lineRule="auto"/>
              <w:jc w:val="both"/>
              <w:rPr>
                <w:rFonts w:ascii="Book Antiqua" w:hAnsi="Book Antiqua"/>
                <w:lang w:val="en-GB"/>
              </w:rPr>
            </w:pPr>
            <w:r w:rsidRPr="00BE42AD">
              <w:rPr>
                <w:rFonts w:ascii="Book Antiqua" w:hAnsi="Book Antiqua"/>
                <w:lang w:val="en-GB"/>
              </w:rPr>
              <w:t>Employee Expenses as per Audited Accounts</w:t>
            </w:r>
          </w:p>
        </w:tc>
        <w:tc>
          <w:tcPr>
            <w:tcW w:w="2390" w:type="dxa"/>
          </w:tcPr>
          <w:p w:rsidR="00F26BE7" w:rsidRPr="00BE42AD" w:rsidRDefault="00F26BE7" w:rsidP="00BE42AD">
            <w:pPr>
              <w:spacing w:line="312" w:lineRule="auto"/>
              <w:jc w:val="right"/>
              <w:rPr>
                <w:rFonts w:ascii="Book Antiqua" w:hAnsi="Book Antiqua"/>
                <w:lang w:val="en-GB"/>
              </w:rPr>
            </w:pPr>
            <w:r w:rsidRPr="00BE42AD">
              <w:rPr>
                <w:rFonts w:ascii="Book Antiqua" w:hAnsi="Book Antiqua"/>
                <w:lang w:val="en-GB"/>
              </w:rPr>
              <w:t>469.09</w:t>
            </w:r>
          </w:p>
        </w:tc>
      </w:tr>
      <w:tr w:rsidR="00F26BE7" w:rsidRPr="00BE42AD" w:rsidTr="005C597E">
        <w:tc>
          <w:tcPr>
            <w:tcW w:w="6237" w:type="dxa"/>
          </w:tcPr>
          <w:p w:rsidR="00F26BE7" w:rsidRPr="00BE42AD" w:rsidRDefault="00F26BE7" w:rsidP="005C597E">
            <w:pPr>
              <w:spacing w:line="312" w:lineRule="auto"/>
              <w:jc w:val="both"/>
              <w:rPr>
                <w:rFonts w:ascii="Book Antiqua" w:hAnsi="Book Antiqua"/>
                <w:lang w:val="en-GB"/>
              </w:rPr>
            </w:pPr>
            <w:r w:rsidRPr="00BE42AD">
              <w:rPr>
                <w:rFonts w:ascii="Book Antiqua" w:hAnsi="Book Antiqua"/>
                <w:lang w:val="en-GB"/>
              </w:rPr>
              <w:t>LESS: Provision towards impact of 7</w:t>
            </w:r>
            <w:r w:rsidRPr="00BE42AD">
              <w:rPr>
                <w:rFonts w:ascii="Book Antiqua" w:hAnsi="Book Antiqua"/>
                <w:vertAlign w:val="superscript"/>
                <w:lang w:val="en-GB"/>
              </w:rPr>
              <w:t>th</w:t>
            </w:r>
            <w:r w:rsidRPr="00BE42AD">
              <w:rPr>
                <w:rFonts w:ascii="Book Antiqua" w:hAnsi="Book Antiqua"/>
                <w:lang w:val="en-GB"/>
              </w:rPr>
              <w:t xml:space="preserve"> Pay Commission</w:t>
            </w:r>
          </w:p>
        </w:tc>
        <w:tc>
          <w:tcPr>
            <w:tcW w:w="2390" w:type="dxa"/>
          </w:tcPr>
          <w:p w:rsidR="00F26BE7" w:rsidRPr="00BE42AD" w:rsidRDefault="00F26BE7" w:rsidP="00BE42AD">
            <w:pPr>
              <w:spacing w:line="312" w:lineRule="auto"/>
              <w:jc w:val="right"/>
              <w:rPr>
                <w:rFonts w:ascii="Book Antiqua" w:hAnsi="Book Antiqua"/>
                <w:lang w:val="en-GB"/>
              </w:rPr>
            </w:pPr>
            <w:r w:rsidRPr="00BE42AD">
              <w:rPr>
                <w:rFonts w:ascii="Book Antiqua" w:hAnsi="Book Antiqua"/>
                <w:lang w:val="en-GB"/>
              </w:rPr>
              <w:t>(41.68)</w:t>
            </w:r>
          </w:p>
        </w:tc>
      </w:tr>
      <w:tr w:rsidR="00F26BE7" w:rsidRPr="00BE42AD" w:rsidTr="005C597E">
        <w:tc>
          <w:tcPr>
            <w:tcW w:w="6237" w:type="dxa"/>
          </w:tcPr>
          <w:p w:rsidR="00F26BE7" w:rsidRPr="00BE42AD" w:rsidRDefault="00F26BE7" w:rsidP="005C597E">
            <w:pPr>
              <w:spacing w:line="312" w:lineRule="auto"/>
              <w:jc w:val="both"/>
              <w:rPr>
                <w:rFonts w:ascii="Book Antiqua" w:hAnsi="Book Antiqua"/>
                <w:lang w:val="en-GB"/>
              </w:rPr>
            </w:pPr>
            <w:r w:rsidRPr="00BE42AD">
              <w:rPr>
                <w:rFonts w:ascii="Book Antiqua" w:hAnsi="Book Antiqua"/>
                <w:lang w:val="en-GB"/>
              </w:rPr>
              <w:t xml:space="preserve">ADD: Employee Expenses Capitalised* </w:t>
            </w:r>
          </w:p>
        </w:tc>
        <w:tc>
          <w:tcPr>
            <w:tcW w:w="2390" w:type="dxa"/>
          </w:tcPr>
          <w:p w:rsidR="00F26BE7" w:rsidRPr="00BE42AD" w:rsidRDefault="00F26BE7" w:rsidP="00BE42AD">
            <w:pPr>
              <w:spacing w:line="312" w:lineRule="auto"/>
              <w:jc w:val="right"/>
              <w:rPr>
                <w:rFonts w:ascii="Book Antiqua" w:hAnsi="Book Antiqua"/>
                <w:lang w:val="en-GB"/>
              </w:rPr>
            </w:pPr>
            <w:r w:rsidRPr="00BE42AD">
              <w:rPr>
                <w:rFonts w:ascii="Book Antiqua" w:hAnsi="Book Antiqua"/>
                <w:lang w:val="en-GB"/>
              </w:rPr>
              <w:t>7</w:t>
            </w:r>
            <w:r w:rsidR="0005518D" w:rsidRPr="00BE42AD">
              <w:rPr>
                <w:rFonts w:ascii="Book Antiqua" w:hAnsi="Book Antiqua"/>
                <w:lang w:val="en-GB"/>
              </w:rPr>
              <w:t>9</w:t>
            </w:r>
            <w:r w:rsidRPr="00BE42AD">
              <w:rPr>
                <w:rFonts w:ascii="Book Antiqua" w:hAnsi="Book Antiqua"/>
                <w:lang w:val="en-GB"/>
              </w:rPr>
              <w:t>.</w:t>
            </w:r>
            <w:r w:rsidR="0005518D" w:rsidRPr="00BE42AD">
              <w:rPr>
                <w:rFonts w:ascii="Book Antiqua" w:hAnsi="Book Antiqua"/>
                <w:lang w:val="en-GB"/>
              </w:rPr>
              <w:t>96</w:t>
            </w:r>
          </w:p>
        </w:tc>
      </w:tr>
      <w:tr w:rsidR="00F26BE7" w:rsidRPr="00BE42AD" w:rsidTr="005C597E">
        <w:tc>
          <w:tcPr>
            <w:tcW w:w="6237" w:type="dxa"/>
          </w:tcPr>
          <w:p w:rsidR="00F26BE7" w:rsidRPr="00BE42AD" w:rsidRDefault="00F26BE7" w:rsidP="005C597E">
            <w:pPr>
              <w:spacing w:line="312" w:lineRule="auto"/>
              <w:jc w:val="both"/>
              <w:rPr>
                <w:rFonts w:ascii="Book Antiqua" w:hAnsi="Book Antiqua"/>
                <w:lang w:val="en-GB"/>
              </w:rPr>
            </w:pPr>
            <w:r w:rsidRPr="00BE42AD">
              <w:rPr>
                <w:rFonts w:ascii="Book Antiqua" w:hAnsi="Book Antiqua"/>
                <w:lang w:val="en-GB"/>
              </w:rPr>
              <w:t>ADD: Re-measurement of the defined benefit plans</w:t>
            </w:r>
          </w:p>
        </w:tc>
        <w:tc>
          <w:tcPr>
            <w:tcW w:w="2390" w:type="dxa"/>
          </w:tcPr>
          <w:p w:rsidR="00F26BE7" w:rsidRPr="00BE42AD" w:rsidRDefault="00F26BE7" w:rsidP="00BE42AD">
            <w:pPr>
              <w:spacing w:line="312" w:lineRule="auto"/>
              <w:jc w:val="right"/>
              <w:rPr>
                <w:rFonts w:ascii="Book Antiqua" w:hAnsi="Book Antiqua"/>
                <w:lang w:val="en-GB"/>
              </w:rPr>
            </w:pPr>
            <w:r w:rsidRPr="00BE42AD">
              <w:rPr>
                <w:rFonts w:ascii="Book Antiqua" w:hAnsi="Book Antiqua"/>
                <w:lang w:val="en-GB"/>
              </w:rPr>
              <w:t>33.18</w:t>
            </w:r>
          </w:p>
        </w:tc>
      </w:tr>
      <w:tr w:rsidR="00F26BE7" w:rsidRPr="00BE42AD" w:rsidTr="005C597E">
        <w:tc>
          <w:tcPr>
            <w:tcW w:w="6237" w:type="dxa"/>
          </w:tcPr>
          <w:p w:rsidR="00F26BE7" w:rsidRPr="00BE42AD" w:rsidRDefault="00F26BE7" w:rsidP="005C597E">
            <w:pPr>
              <w:spacing w:line="312" w:lineRule="auto"/>
              <w:jc w:val="both"/>
              <w:rPr>
                <w:rFonts w:ascii="Book Antiqua" w:hAnsi="Book Antiqua"/>
                <w:lang w:val="en-GB"/>
              </w:rPr>
            </w:pPr>
            <w:r w:rsidRPr="00BE42AD">
              <w:rPr>
                <w:rFonts w:ascii="Book Antiqua" w:hAnsi="Book Antiqua"/>
                <w:lang w:val="en-GB"/>
              </w:rPr>
              <w:t>Employee Expenses claimed in the Petition</w:t>
            </w:r>
          </w:p>
        </w:tc>
        <w:tc>
          <w:tcPr>
            <w:tcW w:w="2390" w:type="dxa"/>
          </w:tcPr>
          <w:p w:rsidR="00F26BE7" w:rsidRPr="00BE42AD" w:rsidRDefault="00F26BE7" w:rsidP="00BE42AD">
            <w:pPr>
              <w:spacing w:line="312" w:lineRule="auto"/>
              <w:jc w:val="right"/>
              <w:rPr>
                <w:rFonts w:ascii="Book Antiqua" w:hAnsi="Book Antiqua"/>
                <w:lang w:val="en-GB"/>
              </w:rPr>
            </w:pPr>
            <w:r w:rsidRPr="00BE42AD">
              <w:rPr>
                <w:rFonts w:ascii="Book Antiqua" w:hAnsi="Book Antiqua"/>
                <w:lang w:val="en-GB"/>
              </w:rPr>
              <w:t>540.55</w:t>
            </w:r>
          </w:p>
        </w:tc>
      </w:tr>
    </w:tbl>
    <w:p w:rsidR="00F26BE7" w:rsidRDefault="00F26BE7" w:rsidP="00CE416F">
      <w:pPr>
        <w:spacing w:after="240"/>
        <w:ind w:left="709"/>
        <w:jc w:val="both"/>
        <w:rPr>
          <w:rFonts w:ascii="Book Antiqua" w:hAnsi="Book Antiqua"/>
          <w:i/>
          <w:iCs/>
          <w:lang w:val="en-GB" w:eastAsia="en-IN"/>
        </w:rPr>
      </w:pPr>
      <w:r w:rsidRPr="0005518D">
        <w:rPr>
          <w:rFonts w:ascii="Book Antiqua" w:hAnsi="Book Antiqua"/>
          <w:i/>
          <w:iCs/>
          <w:lang w:val="en-GB" w:eastAsia="en-IN"/>
        </w:rPr>
        <w:t>*Considered separately under ‘Other Expenses Capitalised’ of Rs. 92.</w:t>
      </w:r>
      <w:r w:rsidR="00773260" w:rsidRPr="005C597E">
        <w:rPr>
          <w:rFonts w:ascii="Book Antiqua" w:hAnsi="Book Antiqua"/>
          <w:i/>
          <w:iCs/>
          <w:lang w:val="en-GB" w:eastAsia="en-IN"/>
        </w:rPr>
        <w:t>24</w:t>
      </w:r>
      <w:r w:rsidRPr="0005518D">
        <w:rPr>
          <w:rFonts w:ascii="Book Antiqua" w:hAnsi="Book Antiqua"/>
          <w:i/>
          <w:iCs/>
          <w:lang w:val="en-GB" w:eastAsia="en-IN"/>
        </w:rPr>
        <w:t xml:space="preserve"> Crore. Hence, added back in computation of Employee Expenses.</w:t>
      </w:r>
    </w:p>
    <w:p w:rsidR="002F7EE8" w:rsidRDefault="008B3DF9" w:rsidP="002F7EE8">
      <w:pPr>
        <w:spacing w:before="240" w:after="240"/>
        <w:ind w:left="709" w:hanging="709"/>
        <w:jc w:val="both"/>
        <w:rPr>
          <w:rFonts w:ascii="Book Antiqua" w:hAnsi="Book Antiqua"/>
          <w:color w:val="000000"/>
        </w:rPr>
      </w:pPr>
      <w:r w:rsidRPr="00967B41">
        <w:rPr>
          <w:rFonts w:ascii="Book Antiqua" w:hAnsi="Book Antiqua"/>
          <w:color w:val="000000"/>
        </w:rPr>
        <w:tab/>
      </w:r>
      <w:r w:rsidR="002F7EE8">
        <w:rPr>
          <w:rFonts w:ascii="Book Antiqua" w:hAnsi="Book Antiqua"/>
          <w:color w:val="000000"/>
        </w:rPr>
        <w:t>In Order in Case No. 1699/2018 dated 31 March, 2018; the Hon’ble Commission had ruled as follows:</w:t>
      </w:r>
    </w:p>
    <w:p w:rsidR="002F7EE8" w:rsidRPr="00BB73FC" w:rsidRDefault="002F7EE8" w:rsidP="00BB73FC">
      <w:pPr>
        <w:spacing w:before="240" w:after="240"/>
        <w:ind w:left="1440"/>
        <w:jc w:val="both"/>
        <w:rPr>
          <w:rFonts w:ascii="Book Antiqua" w:hAnsi="Book Antiqua"/>
          <w:i/>
          <w:iCs/>
          <w:color w:val="000000"/>
        </w:rPr>
      </w:pPr>
      <w:r w:rsidRPr="00BB73FC">
        <w:rPr>
          <w:rFonts w:ascii="Book Antiqua" w:hAnsi="Book Antiqua"/>
          <w:i/>
          <w:iCs/>
          <w:color w:val="000000"/>
        </w:rPr>
        <w:t>“On enquiry with UGVCL it is informed that employee expenses include a provision of Rs. 80.36 Crore towards 7th Pay Commission. As payment on this account is yet to be made, the Commission disallows this provision for employee expenses, to the extent of Rs. 80.36 Crore for the purpose of true up of 2016-17. However, as and when the actual is made, the Commission would consider such claims, which would be accounted for during the true up of the respective year as uncontrollable factor”</w:t>
      </w:r>
    </w:p>
    <w:p w:rsidR="004020A0" w:rsidRPr="00C96F81" w:rsidRDefault="002F7EE8" w:rsidP="00BB73FC">
      <w:pPr>
        <w:spacing w:before="240" w:after="240"/>
        <w:ind w:left="709"/>
        <w:jc w:val="both"/>
        <w:rPr>
          <w:rFonts w:ascii="Book Antiqua" w:hAnsi="Book Antiqua"/>
          <w:color w:val="000000"/>
        </w:rPr>
      </w:pPr>
      <w:r>
        <w:rPr>
          <w:rFonts w:ascii="Book Antiqua" w:hAnsi="Book Antiqua"/>
          <w:color w:val="000000"/>
        </w:rPr>
        <w:t>Accordingly</w:t>
      </w:r>
      <w:r w:rsidR="008161D5" w:rsidRPr="00BB73FC">
        <w:rPr>
          <w:rFonts w:ascii="Book Antiqua" w:hAnsi="Book Antiqua"/>
          <w:color w:val="000000"/>
        </w:rPr>
        <w:t xml:space="preserve">, </w:t>
      </w:r>
      <w:r>
        <w:rPr>
          <w:rFonts w:ascii="Book Antiqua" w:hAnsi="Book Antiqua"/>
          <w:color w:val="000000"/>
        </w:rPr>
        <w:t>arrears of 7</w:t>
      </w:r>
      <w:r w:rsidRPr="00BB73FC">
        <w:rPr>
          <w:rFonts w:ascii="Book Antiqua" w:hAnsi="Book Antiqua"/>
          <w:color w:val="000000"/>
          <w:vertAlign w:val="superscript"/>
        </w:rPr>
        <w:t>th</w:t>
      </w:r>
      <w:r>
        <w:rPr>
          <w:rFonts w:ascii="Book Antiqua" w:hAnsi="Book Antiqua"/>
          <w:color w:val="000000"/>
        </w:rPr>
        <w:t xml:space="preserve"> Pay Commission paid in FY 2018-19 were paid from cumulative provision till FY 2017-18</w:t>
      </w:r>
      <w:r w:rsidR="00BB73FC">
        <w:rPr>
          <w:rFonts w:ascii="Book Antiqua" w:hAnsi="Book Antiqua"/>
          <w:color w:val="000000"/>
        </w:rPr>
        <w:t xml:space="preserve"> and </w:t>
      </w:r>
      <w:r>
        <w:rPr>
          <w:rFonts w:ascii="Book Antiqua" w:hAnsi="Book Antiqua"/>
          <w:color w:val="000000"/>
        </w:rPr>
        <w:t>are not captured in audited accounts of FY 2018-19. Therefore, actual employee expenses of UGVCL for Truing-up of FY 2018-19 is Rs. 614.92 Crore including Rs. 74.37 Crore towards payment of arrears of 7</w:t>
      </w:r>
      <w:r w:rsidRPr="00BB73FC">
        <w:rPr>
          <w:rFonts w:ascii="Book Antiqua" w:hAnsi="Book Antiqua"/>
          <w:color w:val="000000"/>
          <w:vertAlign w:val="superscript"/>
        </w:rPr>
        <w:t>th</w:t>
      </w:r>
      <w:r>
        <w:rPr>
          <w:rFonts w:ascii="Book Antiqua" w:hAnsi="Book Antiqua"/>
          <w:color w:val="000000"/>
        </w:rPr>
        <w:t xml:space="preserve"> Pay Commission</w:t>
      </w:r>
      <w:r w:rsidR="00CE416F">
        <w:rPr>
          <w:rFonts w:ascii="Book Antiqua" w:hAnsi="Book Antiqua"/>
          <w:color w:val="000000"/>
        </w:rPr>
        <w:t xml:space="preserve"> instead of Rs. 540.55 Crore claimed in the Petition</w:t>
      </w:r>
      <w:r>
        <w:rPr>
          <w:rFonts w:ascii="Book Antiqua" w:hAnsi="Book Antiqua"/>
          <w:color w:val="000000"/>
        </w:rPr>
        <w:t xml:space="preserve">. </w:t>
      </w:r>
    </w:p>
    <w:p w:rsidR="00D20D68" w:rsidRPr="00E25147" w:rsidRDefault="00F26BE7">
      <w:pPr>
        <w:numPr>
          <w:ilvl w:val="0"/>
          <w:numId w:val="6"/>
        </w:numPr>
        <w:spacing w:before="240" w:after="240" w:line="276" w:lineRule="auto"/>
        <w:ind w:left="629" w:hanging="357"/>
        <w:jc w:val="both"/>
        <w:rPr>
          <w:b/>
          <w:bCs/>
          <w:color w:val="000000"/>
        </w:rPr>
      </w:pPr>
      <w:r w:rsidRPr="00E25147">
        <w:rPr>
          <w:rFonts w:ascii="Book Antiqua" w:hAnsi="Book Antiqua"/>
          <w:b/>
          <w:bCs/>
          <w:color w:val="000000"/>
        </w:rPr>
        <w:t>U</w:t>
      </w:r>
      <w:r w:rsidR="00D20D68" w:rsidRPr="00E25147">
        <w:rPr>
          <w:rFonts w:ascii="Book Antiqua" w:hAnsi="Book Antiqua"/>
          <w:b/>
          <w:bCs/>
          <w:color w:val="000000"/>
        </w:rPr>
        <w:t>GVCL should provide the heads under which the actual amount of arrears paid during the year (Rs. 74.37 Crore) is accounted for in the audited accounts of FY 2018-19.</w:t>
      </w:r>
    </w:p>
    <w:p w:rsidR="00BA1863" w:rsidRDefault="00BA1863" w:rsidP="00BA1863">
      <w:pPr>
        <w:spacing w:before="240" w:after="240" w:line="276" w:lineRule="auto"/>
        <w:ind w:left="272"/>
        <w:jc w:val="both"/>
        <w:rPr>
          <w:rFonts w:ascii="Book Antiqua" w:hAnsi="Book Antiqua"/>
          <w:color w:val="000000"/>
        </w:rPr>
      </w:pPr>
      <w:r w:rsidRPr="00E25147">
        <w:rPr>
          <w:rFonts w:ascii="Book Antiqua" w:hAnsi="Book Antiqua"/>
          <w:b/>
          <w:bCs/>
          <w:color w:val="000000"/>
        </w:rPr>
        <w:t xml:space="preserve">Compliance:- </w:t>
      </w:r>
    </w:p>
    <w:p w:rsidR="00B9383C" w:rsidRDefault="00BE42AD" w:rsidP="00B9383C">
      <w:pPr>
        <w:spacing w:before="240" w:after="240" w:line="276" w:lineRule="auto"/>
        <w:ind w:left="567"/>
        <w:jc w:val="both"/>
        <w:rPr>
          <w:rFonts w:ascii="Book Antiqua" w:hAnsi="Book Antiqua"/>
          <w:color w:val="000000"/>
        </w:rPr>
      </w:pPr>
      <w:r w:rsidRPr="00BB73FC">
        <w:rPr>
          <w:rFonts w:ascii="Book Antiqua" w:hAnsi="Book Antiqua"/>
          <w:color w:val="000000"/>
        </w:rPr>
        <w:t>A</w:t>
      </w:r>
      <w:r w:rsidR="00BA1863" w:rsidRPr="00BB73FC">
        <w:rPr>
          <w:rFonts w:ascii="Book Antiqua" w:hAnsi="Book Antiqua"/>
          <w:color w:val="000000"/>
        </w:rPr>
        <w:t xml:space="preserve">rrears paid during the FY 2018-19 </w:t>
      </w:r>
      <w:r w:rsidR="00BB73FC" w:rsidRPr="00BB73FC">
        <w:rPr>
          <w:rFonts w:ascii="Book Antiqua" w:hAnsi="Book Antiqua"/>
          <w:color w:val="000000"/>
        </w:rPr>
        <w:t xml:space="preserve">are </w:t>
      </w:r>
      <w:r w:rsidR="00BB73FC">
        <w:rPr>
          <w:rFonts w:ascii="Book Antiqua" w:hAnsi="Book Antiqua"/>
          <w:color w:val="000000"/>
        </w:rPr>
        <w:t>paid from cumulative provision for 7</w:t>
      </w:r>
      <w:r w:rsidR="00BB73FC" w:rsidRPr="00BB73FC">
        <w:rPr>
          <w:rFonts w:ascii="Book Antiqua" w:hAnsi="Book Antiqua"/>
          <w:color w:val="000000"/>
          <w:vertAlign w:val="superscript"/>
        </w:rPr>
        <w:t>th</w:t>
      </w:r>
      <w:r w:rsidR="00BB73FC">
        <w:rPr>
          <w:rFonts w:ascii="Book Antiqua" w:hAnsi="Book Antiqua"/>
          <w:color w:val="000000"/>
        </w:rPr>
        <w:t xml:space="preserve"> Pay Commission till end of FY 2017-18 and are not captured in audited accounts of FY 2018-19</w:t>
      </w:r>
      <w:r w:rsidR="00BA1863" w:rsidRPr="00BB73FC">
        <w:rPr>
          <w:rFonts w:ascii="Book Antiqua" w:hAnsi="Book Antiqua"/>
          <w:color w:val="000000"/>
        </w:rPr>
        <w:t>.</w:t>
      </w:r>
      <w:r w:rsidR="00BB73FC">
        <w:rPr>
          <w:rFonts w:ascii="Book Antiqua" w:hAnsi="Book Antiqua"/>
          <w:color w:val="000000"/>
        </w:rPr>
        <w:t xml:space="preserve"> The Hon’ble Commission is requested to consider the same.</w:t>
      </w:r>
      <w:r w:rsidR="00160C26">
        <w:rPr>
          <w:rFonts w:ascii="Book Antiqua" w:hAnsi="Book Antiqua"/>
          <w:color w:val="000000"/>
        </w:rPr>
        <w:t xml:space="preserve">Therefore, actual employee </w:t>
      </w:r>
      <w:r w:rsidR="00160C26">
        <w:rPr>
          <w:rFonts w:ascii="Book Antiqua" w:hAnsi="Book Antiqua"/>
          <w:color w:val="000000"/>
        </w:rPr>
        <w:lastRenderedPageBreak/>
        <w:t>expenses of UGVCL for Truing-up of FY 2018-19 is Rs. 614.92 Crore including Rs. 74.37 Crore towards payment of arrears of 7</w:t>
      </w:r>
      <w:r w:rsidR="00160C26" w:rsidRPr="00BB73FC">
        <w:rPr>
          <w:rFonts w:ascii="Book Antiqua" w:hAnsi="Book Antiqua"/>
          <w:color w:val="000000"/>
          <w:vertAlign w:val="superscript"/>
        </w:rPr>
        <w:t>th</w:t>
      </w:r>
      <w:r w:rsidR="00160C26">
        <w:rPr>
          <w:rFonts w:ascii="Book Antiqua" w:hAnsi="Book Antiqua"/>
          <w:color w:val="000000"/>
        </w:rPr>
        <w:t xml:space="preserve"> Pay Commission instead of Rs. 540.55 Crore claimed in the Petition.</w:t>
      </w:r>
    </w:p>
    <w:p w:rsidR="00D20D68" w:rsidRPr="00E25147" w:rsidRDefault="00D20D68">
      <w:pPr>
        <w:numPr>
          <w:ilvl w:val="0"/>
          <w:numId w:val="6"/>
        </w:numPr>
        <w:spacing w:after="240" w:line="276" w:lineRule="auto"/>
        <w:ind w:left="629" w:hanging="357"/>
        <w:jc w:val="both"/>
        <w:rPr>
          <w:b/>
          <w:bCs/>
          <w:color w:val="000000"/>
        </w:rPr>
      </w:pPr>
      <w:r w:rsidRPr="00E25147">
        <w:rPr>
          <w:rFonts w:ascii="Book Antiqua" w:hAnsi="Book Antiqua"/>
          <w:b/>
          <w:bCs/>
          <w:color w:val="000000"/>
        </w:rPr>
        <w:t xml:space="preserve">UGVCL should submit the break-up of ‘Other Administration &amp; General Expenses’ of Rs. </w:t>
      </w:r>
      <w:r w:rsidR="000E23E9" w:rsidRPr="00E25147">
        <w:rPr>
          <w:rFonts w:ascii="Book Antiqua" w:hAnsi="Book Antiqua"/>
          <w:b/>
          <w:bCs/>
          <w:color w:val="000000"/>
        </w:rPr>
        <w:t>16.99 Crore</w:t>
      </w:r>
      <w:r w:rsidRPr="00E25147">
        <w:rPr>
          <w:rFonts w:ascii="Book Antiqua" w:hAnsi="Book Antiqua"/>
          <w:b/>
          <w:bCs/>
          <w:color w:val="000000"/>
        </w:rPr>
        <w:t xml:space="preserve"> considered under A&amp;G expenses in the Accounts.</w:t>
      </w:r>
    </w:p>
    <w:p w:rsidR="00432021" w:rsidRDefault="004020A0">
      <w:pPr>
        <w:spacing w:after="240"/>
        <w:ind w:left="426"/>
        <w:contextualSpacing/>
        <w:jc w:val="both"/>
        <w:rPr>
          <w:b/>
          <w:bCs/>
          <w:i/>
          <w:iCs/>
          <w:u w:val="single"/>
          <w:lang w:val="en-GB"/>
        </w:rPr>
      </w:pPr>
      <w:r w:rsidRPr="00E25147">
        <w:rPr>
          <w:rFonts w:ascii="Book Antiqua" w:hAnsi="Book Antiqua"/>
          <w:b/>
          <w:bCs/>
          <w:color w:val="000000"/>
        </w:rPr>
        <w:t xml:space="preserve">Compliance:- </w:t>
      </w:r>
    </w:p>
    <w:tbl>
      <w:tblPr>
        <w:tblW w:w="8216" w:type="dxa"/>
        <w:jc w:val="center"/>
        <w:tblLook w:val="04A0"/>
      </w:tblPr>
      <w:tblGrid>
        <w:gridCol w:w="1120"/>
        <w:gridCol w:w="5254"/>
        <w:gridCol w:w="1842"/>
      </w:tblGrid>
      <w:tr w:rsidR="00432021" w:rsidRPr="00F857ED" w:rsidTr="00DE63F2">
        <w:trPr>
          <w:trHeight w:val="300"/>
          <w:tblHeader/>
          <w:jc w:val="center"/>
        </w:trPr>
        <w:tc>
          <w:tcPr>
            <w:tcW w:w="1120" w:type="dxa"/>
            <w:tcBorders>
              <w:top w:val="nil"/>
              <w:left w:val="nil"/>
              <w:bottom w:val="nil"/>
              <w:right w:val="nil"/>
            </w:tcBorders>
            <w:shd w:val="clear" w:color="auto" w:fill="auto"/>
            <w:noWrap/>
            <w:vAlign w:val="center"/>
            <w:hideMark/>
          </w:tcPr>
          <w:p w:rsidR="00432021" w:rsidRPr="00F857ED" w:rsidRDefault="00432021" w:rsidP="00432021">
            <w:pPr>
              <w:rPr>
                <w:rFonts w:ascii="Book Antiqua" w:eastAsia="Times New Roman" w:hAnsi="Book Antiqua" w:cs="Times New Roman"/>
                <w:sz w:val="20"/>
                <w:szCs w:val="20"/>
                <w:lang w:eastAsia="en-IN"/>
              </w:rPr>
            </w:pPr>
          </w:p>
        </w:tc>
        <w:tc>
          <w:tcPr>
            <w:tcW w:w="5254" w:type="dxa"/>
            <w:tcBorders>
              <w:top w:val="nil"/>
              <w:left w:val="nil"/>
              <w:bottom w:val="nil"/>
              <w:right w:val="nil"/>
            </w:tcBorders>
            <w:shd w:val="clear" w:color="auto" w:fill="auto"/>
            <w:noWrap/>
            <w:vAlign w:val="bottom"/>
            <w:hideMark/>
          </w:tcPr>
          <w:p w:rsidR="00432021" w:rsidRPr="00F857ED" w:rsidRDefault="00432021" w:rsidP="00432021">
            <w:pPr>
              <w:jc w:val="center"/>
              <w:rPr>
                <w:rFonts w:ascii="Book Antiqua" w:eastAsia="Times New Roman" w:hAnsi="Book Antiqua" w:cs="Times New Roman"/>
                <w:sz w:val="20"/>
                <w:szCs w:val="20"/>
                <w:lang w:eastAsia="en-IN"/>
              </w:rPr>
            </w:pPr>
          </w:p>
        </w:tc>
        <w:tc>
          <w:tcPr>
            <w:tcW w:w="1842" w:type="dxa"/>
            <w:tcBorders>
              <w:top w:val="nil"/>
              <w:left w:val="nil"/>
              <w:bottom w:val="nil"/>
              <w:right w:val="nil"/>
            </w:tcBorders>
            <w:shd w:val="clear" w:color="auto" w:fill="auto"/>
            <w:noWrap/>
            <w:vAlign w:val="center"/>
            <w:hideMark/>
          </w:tcPr>
          <w:p w:rsidR="00432021" w:rsidRPr="00F857ED" w:rsidRDefault="00432021" w:rsidP="00DE63F2">
            <w:pPr>
              <w:ind w:right="-104"/>
              <w:jc w:val="right"/>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Rs. In Crore</w:t>
            </w:r>
          </w:p>
        </w:tc>
      </w:tr>
      <w:tr w:rsidR="00432021" w:rsidRPr="00F857ED" w:rsidTr="00DE63F2">
        <w:trPr>
          <w:trHeight w:val="300"/>
          <w:tblHeader/>
          <w:jc w:val="center"/>
        </w:trPr>
        <w:tc>
          <w:tcPr>
            <w:tcW w:w="1120"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432021" w:rsidRPr="00F857ED" w:rsidRDefault="00432021" w:rsidP="00DE63F2">
            <w:pPr>
              <w:jc w:val="center"/>
              <w:rPr>
                <w:rFonts w:ascii="Book Antiqua" w:eastAsia="Times New Roman" w:hAnsi="Book Antiqua" w:cs="Times New Roman"/>
                <w:b/>
                <w:bCs/>
                <w:color w:val="000000"/>
                <w:lang w:eastAsia="en-IN"/>
              </w:rPr>
            </w:pPr>
            <w:r w:rsidRPr="00F857ED">
              <w:rPr>
                <w:rFonts w:ascii="Book Antiqua" w:eastAsia="Times New Roman" w:hAnsi="Book Antiqua" w:cs="Times New Roman"/>
                <w:b/>
                <w:bCs/>
                <w:color w:val="000000"/>
                <w:sz w:val="22"/>
                <w:szCs w:val="22"/>
                <w:lang w:eastAsia="en-IN"/>
              </w:rPr>
              <w:t>A/c Head</w:t>
            </w:r>
          </w:p>
        </w:tc>
        <w:tc>
          <w:tcPr>
            <w:tcW w:w="5254"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432021" w:rsidRPr="00F857ED" w:rsidRDefault="00F857ED" w:rsidP="00DE63F2">
            <w:pPr>
              <w:jc w:val="center"/>
              <w:rPr>
                <w:rFonts w:ascii="Book Antiqua" w:eastAsia="Times New Roman" w:hAnsi="Book Antiqua" w:cs="Times New Roman"/>
                <w:b/>
                <w:bCs/>
                <w:color w:val="000000"/>
                <w:lang w:eastAsia="en-IN"/>
              </w:rPr>
            </w:pPr>
            <w:r w:rsidRPr="00F857ED">
              <w:rPr>
                <w:rFonts w:ascii="Book Antiqua" w:eastAsia="Times New Roman" w:hAnsi="Book Antiqua" w:cs="Times New Roman"/>
                <w:b/>
                <w:bCs/>
                <w:color w:val="000000"/>
                <w:sz w:val="22"/>
                <w:szCs w:val="22"/>
                <w:lang w:eastAsia="en-IN"/>
              </w:rPr>
              <w:t>Deceptions</w:t>
            </w:r>
          </w:p>
        </w:tc>
        <w:tc>
          <w:tcPr>
            <w:tcW w:w="1842"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432021" w:rsidRPr="00F857ED" w:rsidRDefault="00432021" w:rsidP="00DE63F2">
            <w:pPr>
              <w:jc w:val="center"/>
              <w:rPr>
                <w:rFonts w:ascii="Book Antiqua" w:eastAsia="Times New Roman" w:hAnsi="Book Antiqua" w:cs="Times New Roman"/>
                <w:b/>
                <w:bCs/>
                <w:color w:val="000000"/>
                <w:lang w:eastAsia="en-IN"/>
              </w:rPr>
            </w:pPr>
            <w:r w:rsidRPr="00F857ED">
              <w:rPr>
                <w:rFonts w:ascii="Book Antiqua" w:eastAsia="Times New Roman" w:hAnsi="Book Antiqua" w:cs="Times New Roman"/>
                <w:b/>
                <w:bCs/>
                <w:color w:val="000000"/>
                <w:sz w:val="22"/>
                <w:szCs w:val="22"/>
                <w:lang w:eastAsia="en-IN"/>
              </w:rPr>
              <w:t>FY 2018-19</w:t>
            </w:r>
          </w:p>
        </w:tc>
      </w:tr>
      <w:tr w:rsidR="00432021" w:rsidRPr="00F857ED" w:rsidTr="00F857ED">
        <w:trPr>
          <w:trHeight w:val="300"/>
          <w:tblHeader/>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32021" w:rsidRPr="00F857ED" w:rsidRDefault="00432021" w:rsidP="00432021">
            <w:pPr>
              <w:jc w:val="cente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76151</w:t>
            </w:r>
          </w:p>
        </w:tc>
        <w:tc>
          <w:tcPr>
            <w:tcW w:w="5254" w:type="dxa"/>
            <w:tcBorders>
              <w:top w:val="nil"/>
              <w:left w:val="nil"/>
              <w:bottom w:val="single" w:sz="4" w:space="0" w:color="auto"/>
              <w:right w:val="single" w:sz="4" w:space="0" w:color="auto"/>
            </w:tcBorders>
            <w:shd w:val="clear" w:color="auto" w:fill="auto"/>
            <w:noWrap/>
            <w:vAlign w:val="bottom"/>
            <w:hideMark/>
          </w:tcPr>
          <w:p w:rsidR="00432021" w:rsidRPr="00F857ED" w:rsidRDefault="00E25147" w:rsidP="00432021">
            <w:pP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Other Fees &amp; Subscriptions</w:t>
            </w:r>
          </w:p>
        </w:tc>
        <w:tc>
          <w:tcPr>
            <w:tcW w:w="1842" w:type="dxa"/>
            <w:tcBorders>
              <w:top w:val="nil"/>
              <w:left w:val="nil"/>
              <w:bottom w:val="single" w:sz="4" w:space="0" w:color="auto"/>
              <w:right w:val="single" w:sz="4" w:space="0" w:color="auto"/>
            </w:tcBorders>
            <w:shd w:val="clear" w:color="auto" w:fill="auto"/>
            <w:noWrap/>
            <w:vAlign w:val="center"/>
            <w:hideMark/>
          </w:tcPr>
          <w:p w:rsidR="00432021" w:rsidRPr="00F857ED" w:rsidRDefault="00432021" w:rsidP="00432021">
            <w:pPr>
              <w:jc w:val="cente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0.56</w:t>
            </w:r>
          </w:p>
        </w:tc>
      </w:tr>
      <w:tr w:rsidR="00432021" w:rsidRPr="00F857ED" w:rsidTr="00F857ED">
        <w:trPr>
          <w:trHeight w:val="300"/>
          <w:tblHeader/>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32021" w:rsidRPr="00F857ED" w:rsidRDefault="00432021" w:rsidP="00432021">
            <w:pPr>
              <w:jc w:val="cente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76152</w:t>
            </w:r>
          </w:p>
        </w:tc>
        <w:tc>
          <w:tcPr>
            <w:tcW w:w="5254" w:type="dxa"/>
            <w:tcBorders>
              <w:top w:val="nil"/>
              <w:left w:val="nil"/>
              <w:bottom w:val="single" w:sz="4" w:space="0" w:color="auto"/>
              <w:right w:val="single" w:sz="4" w:space="0" w:color="auto"/>
            </w:tcBorders>
            <w:shd w:val="clear" w:color="auto" w:fill="auto"/>
            <w:noWrap/>
            <w:vAlign w:val="bottom"/>
            <w:hideMark/>
          </w:tcPr>
          <w:p w:rsidR="00432021" w:rsidRPr="00F857ED" w:rsidRDefault="00E25147" w:rsidP="00432021">
            <w:pP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Books And Periodicals</w:t>
            </w:r>
          </w:p>
        </w:tc>
        <w:tc>
          <w:tcPr>
            <w:tcW w:w="1842" w:type="dxa"/>
            <w:tcBorders>
              <w:top w:val="nil"/>
              <w:left w:val="nil"/>
              <w:bottom w:val="single" w:sz="4" w:space="0" w:color="auto"/>
              <w:right w:val="single" w:sz="4" w:space="0" w:color="auto"/>
            </w:tcBorders>
            <w:shd w:val="clear" w:color="auto" w:fill="auto"/>
            <w:noWrap/>
            <w:vAlign w:val="center"/>
            <w:hideMark/>
          </w:tcPr>
          <w:p w:rsidR="00432021" w:rsidRPr="00F857ED" w:rsidRDefault="00432021" w:rsidP="00432021">
            <w:pPr>
              <w:jc w:val="cente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0.03</w:t>
            </w:r>
          </w:p>
        </w:tc>
      </w:tr>
      <w:tr w:rsidR="00432021" w:rsidRPr="00F857ED" w:rsidTr="00F857ED">
        <w:trPr>
          <w:trHeight w:val="300"/>
          <w:tblHeader/>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32021" w:rsidRPr="00F857ED" w:rsidRDefault="00432021" w:rsidP="00432021">
            <w:pPr>
              <w:jc w:val="cente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76165</w:t>
            </w:r>
          </w:p>
        </w:tc>
        <w:tc>
          <w:tcPr>
            <w:tcW w:w="5254" w:type="dxa"/>
            <w:tcBorders>
              <w:top w:val="nil"/>
              <w:left w:val="nil"/>
              <w:bottom w:val="single" w:sz="4" w:space="0" w:color="auto"/>
              <w:right w:val="single" w:sz="4" w:space="0" w:color="auto"/>
            </w:tcBorders>
            <w:shd w:val="clear" w:color="auto" w:fill="auto"/>
            <w:noWrap/>
            <w:vAlign w:val="bottom"/>
            <w:hideMark/>
          </w:tcPr>
          <w:p w:rsidR="00432021" w:rsidRPr="00F857ED" w:rsidRDefault="00E25147" w:rsidP="00432021">
            <w:pP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Guest House Expenses</w:t>
            </w:r>
          </w:p>
        </w:tc>
        <w:tc>
          <w:tcPr>
            <w:tcW w:w="1842" w:type="dxa"/>
            <w:tcBorders>
              <w:top w:val="nil"/>
              <w:left w:val="nil"/>
              <w:bottom w:val="single" w:sz="4" w:space="0" w:color="auto"/>
              <w:right w:val="single" w:sz="4" w:space="0" w:color="auto"/>
            </w:tcBorders>
            <w:shd w:val="clear" w:color="auto" w:fill="auto"/>
            <w:noWrap/>
            <w:vAlign w:val="center"/>
            <w:hideMark/>
          </w:tcPr>
          <w:p w:rsidR="00432021" w:rsidRPr="00F857ED" w:rsidRDefault="00432021" w:rsidP="00432021">
            <w:pPr>
              <w:jc w:val="cente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0.09</w:t>
            </w:r>
          </w:p>
        </w:tc>
      </w:tr>
      <w:tr w:rsidR="00432021" w:rsidRPr="00F857ED" w:rsidTr="00F857ED">
        <w:trPr>
          <w:trHeight w:val="300"/>
          <w:tblHeader/>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32021" w:rsidRPr="00F857ED" w:rsidRDefault="00432021" w:rsidP="00432021">
            <w:pPr>
              <w:jc w:val="cente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76166</w:t>
            </w:r>
          </w:p>
        </w:tc>
        <w:tc>
          <w:tcPr>
            <w:tcW w:w="5254" w:type="dxa"/>
            <w:tcBorders>
              <w:top w:val="nil"/>
              <w:left w:val="nil"/>
              <w:bottom w:val="single" w:sz="4" w:space="0" w:color="auto"/>
              <w:right w:val="single" w:sz="4" w:space="0" w:color="auto"/>
            </w:tcBorders>
            <w:shd w:val="clear" w:color="auto" w:fill="auto"/>
            <w:noWrap/>
            <w:vAlign w:val="bottom"/>
            <w:hideMark/>
          </w:tcPr>
          <w:p w:rsidR="00432021" w:rsidRPr="00F857ED" w:rsidRDefault="00E25147" w:rsidP="00432021">
            <w:pP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Upkeep of Office/Boards Premises.</w:t>
            </w:r>
          </w:p>
        </w:tc>
        <w:tc>
          <w:tcPr>
            <w:tcW w:w="1842" w:type="dxa"/>
            <w:tcBorders>
              <w:top w:val="nil"/>
              <w:left w:val="nil"/>
              <w:bottom w:val="single" w:sz="4" w:space="0" w:color="auto"/>
              <w:right w:val="single" w:sz="4" w:space="0" w:color="auto"/>
            </w:tcBorders>
            <w:shd w:val="clear" w:color="auto" w:fill="auto"/>
            <w:noWrap/>
            <w:vAlign w:val="center"/>
            <w:hideMark/>
          </w:tcPr>
          <w:p w:rsidR="00432021" w:rsidRPr="00F857ED" w:rsidRDefault="00432021" w:rsidP="00432021">
            <w:pPr>
              <w:jc w:val="cente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1.11</w:t>
            </w:r>
          </w:p>
        </w:tc>
      </w:tr>
      <w:tr w:rsidR="00432021" w:rsidRPr="00F857ED" w:rsidTr="00F857ED">
        <w:trPr>
          <w:trHeight w:val="300"/>
          <w:tblHeader/>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32021" w:rsidRPr="00F857ED" w:rsidRDefault="00432021" w:rsidP="00432021">
            <w:pPr>
              <w:jc w:val="cente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76168</w:t>
            </w:r>
          </w:p>
        </w:tc>
        <w:tc>
          <w:tcPr>
            <w:tcW w:w="5254" w:type="dxa"/>
            <w:tcBorders>
              <w:top w:val="nil"/>
              <w:left w:val="nil"/>
              <w:bottom w:val="single" w:sz="4" w:space="0" w:color="auto"/>
              <w:right w:val="single" w:sz="4" w:space="0" w:color="auto"/>
            </w:tcBorders>
            <w:shd w:val="clear" w:color="auto" w:fill="auto"/>
            <w:noWrap/>
            <w:vAlign w:val="bottom"/>
            <w:hideMark/>
          </w:tcPr>
          <w:p w:rsidR="00432021" w:rsidRPr="00F857ED" w:rsidRDefault="00E25147" w:rsidP="00432021">
            <w:pP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Expenditure Incurred on Consumer Billing &amp; Collection</w:t>
            </w:r>
          </w:p>
        </w:tc>
        <w:tc>
          <w:tcPr>
            <w:tcW w:w="1842" w:type="dxa"/>
            <w:tcBorders>
              <w:top w:val="nil"/>
              <w:left w:val="nil"/>
              <w:bottom w:val="single" w:sz="4" w:space="0" w:color="auto"/>
              <w:right w:val="single" w:sz="4" w:space="0" w:color="auto"/>
            </w:tcBorders>
            <w:shd w:val="clear" w:color="auto" w:fill="auto"/>
            <w:noWrap/>
            <w:vAlign w:val="center"/>
            <w:hideMark/>
          </w:tcPr>
          <w:p w:rsidR="00432021" w:rsidRPr="00F857ED" w:rsidRDefault="00432021" w:rsidP="00432021">
            <w:pPr>
              <w:jc w:val="cente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2.89</w:t>
            </w:r>
          </w:p>
        </w:tc>
      </w:tr>
      <w:tr w:rsidR="00432021" w:rsidRPr="00F857ED" w:rsidTr="00F857ED">
        <w:trPr>
          <w:trHeight w:val="300"/>
          <w:tblHeader/>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32021" w:rsidRPr="00F857ED" w:rsidRDefault="00432021" w:rsidP="00432021">
            <w:pPr>
              <w:jc w:val="cente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76170</w:t>
            </w:r>
          </w:p>
        </w:tc>
        <w:tc>
          <w:tcPr>
            <w:tcW w:w="5254" w:type="dxa"/>
            <w:tcBorders>
              <w:top w:val="nil"/>
              <w:left w:val="nil"/>
              <w:bottom w:val="single" w:sz="4" w:space="0" w:color="auto"/>
              <w:right w:val="single" w:sz="4" w:space="0" w:color="auto"/>
            </w:tcBorders>
            <w:shd w:val="clear" w:color="auto" w:fill="auto"/>
            <w:noWrap/>
            <w:vAlign w:val="bottom"/>
            <w:hideMark/>
          </w:tcPr>
          <w:p w:rsidR="00432021" w:rsidRPr="00F857ED" w:rsidRDefault="00E25147" w:rsidP="00432021">
            <w:pP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Gardening &amp; Horticultural Expenses</w:t>
            </w:r>
          </w:p>
        </w:tc>
        <w:tc>
          <w:tcPr>
            <w:tcW w:w="1842" w:type="dxa"/>
            <w:tcBorders>
              <w:top w:val="nil"/>
              <w:left w:val="nil"/>
              <w:bottom w:val="single" w:sz="4" w:space="0" w:color="auto"/>
              <w:right w:val="single" w:sz="4" w:space="0" w:color="auto"/>
            </w:tcBorders>
            <w:shd w:val="clear" w:color="auto" w:fill="auto"/>
            <w:noWrap/>
            <w:vAlign w:val="center"/>
            <w:hideMark/>
          </w:tcPr>
          <w:p w:rsidR="00432021" w:rsidRPr="00F857ED" w:rsidRDefault="00432021" w:rsidP="00432021">
            <w:pPr>
              <w:jc w:val="cente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0.13</w:t>
            </w:r>
          </w:p>
        </w:tc>
      </w:tr>
      <w:tr w:rsidR="00432021" w:rsidRPr="00F857ED" w:rsidTr="00F857ED">
        <w:trPr>
          <w:trHeight w:val="300"/>
          <w:tblHeader/>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32021" w:rsidRPr="00F857ED" w:rsidRDefault="00432021" w:rsidP="00432021">
            <w:pPr>
              <w:jc w:val="cente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76171</w:t>
            </w:r>
          </w:p>
        </w:tc>
        <w:tc>
          <w:tcPr>
            <w:tcW w:w="5254" w:type="dxa"/>
            <w:tcBorders>
              <w:top w:val="nil"/>
              <w:left w:val="nil"/>
              <w:bottom w:val="single" w:sz="4" w:space="0" w:color="auto"/>
              <w:right w:val="single" w:sz="4" w:space="0" w:color="auto"/>
            </w:tcBorders>
            <w:shd w:val="clear" w:color="auto" w:fill="auto"/>
            <w:noWrap/>
            <w:vAlign w:val="bottom"/>
            <w:hideMark/>
          </w:tcPr>
          <w:p w:rsidR="00432021" w:rsidRPr="00F857ED" w:rsidRDefault="00E25147" w:rsidP="00432021">
            <w:pP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Conference/Meeting Expenses</w:t>
            </w:r>
          </w:p>
        </w:tc>
        <w:tc>
          <w:tcPr>
            <w:tcW w:w="1842" w:type="dxa"/>
            <w:tcBorders>
              <w:top w:val="nil"/>
              <w:left w:val="nil"/>
              <w:bottom w:val="single" w:sz="4" w:space="0" w:color="auto"/>
              <w:right w:val="single" w:sz="4" w:space="0" w:color="auto"/>
            </w:tcBorders>
            <w:shd w:val="clear" w:color="auto" w:fill="auto"/>
            <w:noWrap/>
            <w:vAlign w:val="center"/>
            <w:hideMark/>
          </w:tcPr>
          <w:p w:rsidR="00432021" w:rsidRPr="00F857ED" w:rsidRDefault="00432021" w:rsidP="00432021">
            <w:pPr>
              <w:jc w:val="cente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0.22</w:t>
            </w:r>
          </w:p>
        </w:tc>
      </w:tr>
      <w:tr w:rsidR="00432021" w:rsidRPr="00F857ED" w:rsidTr="00F857ED">
        <w:trPr>
          <w:trHeight w:val="300"/>
          <w:tblHeader/>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32021" w:rsidRPr="00F857ED" w:rsidRDefault="00432021" w:rsidP="00432021">
            <w:pPr>
              <w:jc w:val="cente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76176</w:t>
            </w:r>
          </w:p>
        </w:tc>
        <w:tc>
          <w:tcPr>
            <w:tcW w:w="5254" w:type="dxa"/>
            <w:tcBorders>
              <w:top w:val="nil"/>
              <w:left w:val="nil"/>
              <w:bottom w:val="single" w:sz="4" w:space="0" w:color="auto"/>
              <w:right w:val="single" w:sz="4" w:space="0" w:color="auto"/>
            </w:tcBorders>
            <w:shd w:val="clear" w:color="auto" w:fill="auto"/>
            <w:noWrap/>
            <w:vAlign w:val="bottom"/>
            <w:hideMark/>
          </w:tcPr>
          <w:p w:rsidR="00432021" w:rsidRPr="00F857ED" w:rsidRDefault="00E25147" w:rsidP="00432021">
            <w:pP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Hospitality Expenses</w:t>
            </w:r>
          </w:p>
        </w:tc>
        <w:tc>
          <w:tcPr>
            <w:tcW w:w="1842" w:type="dxa"/>
            <w:tcBorders>
              <w:top w:val="nil"/>
              <w:left w:val="nil"/>
              <w:bottom w:val="single" w:sz="4" w:space="0" w:color="auto"/>
              <w:right w:val="single" w:sz="4" w:space="0" w:color="auto"/>
            </w:tcBorders>
            <w:shd w:val="clear" w:color="auto" w:fill="auto"/>
            <w:noWrap/>
            <w:vAlign w:val="center"/>
            <w:hideMark/>
          </w:tcPr>
          <w:p w:rsidR="00432021" w:rsidRPr="00F857ED" w:rsidRDefault="00432021" w:rsidP="00432021">
            <w:pPr>
              <w:jc w:val="cente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0.01</w:t>
            </w:r>
          </w:p>
        </w:tc>
      </w:tr>
      <w:tr w:rsidR="00432021" w:rsidRPr="00F857ED" w:rsidTr="00F857ED">
        <w:trPr>
          <w:trHeight w:val="300"/>
          <w:tblHeader/>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32021" w:rsidRPr="00F857ED" w:rsidRDefault="00432021" w:rsidP="00432021">
            <w:pPr>
              <w:jc w:val="cente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76178</w:t>
            </w:r>
          </w:p>
        </w:tc>
        <w:tc>
          <w:tcPr>
            <w:tcW w:w="5254" w:type="dxa"/>
            <w:tcBorders>
              <w:top w:val="nil"/>
              <w:left w:val="nil"/>
              <w:bottom w:val="single" w:sz="4" w:space="0" w:color="auto"/>
              <w:right w:val="single" w:sz="4" w:space="0" w:color="auto"/>
            </w:tcBorders>
            <w:shd w:val="clear" w:color="auto" w:fill="auto"/>
            <w:noWrap/>
            <w:vAlign w:val="bottom"/>
            <w:hideMark/>
          </w:tcPr>
          <w:p w:rsidR="00432021" w:rsidRPr="00F857ED" w:rsidRDefault="00432021" w:rsidP="00432021">
            <w:pP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 xml:space="preserve">Vehicle Expenses </w:t>
            </w:r>
            <w:r w:rsidR="00E25147" w:rsidRPr="00F857ED">
              <w:rPr>
                <w:rFonts w:ascii="Book Antiqua" w:eastAsia="Times New Roman" w:hAnsi="Book Antiqua" w:cs="Times New Roman"/>
                <w:color w:val="000000"/>
                <w:sz w:val="22"/>
                <w:szCs w:val="22"/>
                <w:lang w:eastAsia="en-IN"/>
              </w:rPr>
              <w:t>For</w:t>
            </w:r>
            <w:r w:rsidRPr="00F857ED">
              <w:rPr>
                <w:rFonts w:ascii="Book Antiqua" w:eastAsia="Times New Roman" w:hAnsi="Book Antiqua" w:cs="Times New Roman"/>
                <w:color w:val="000000"/>
                <w:sz w:val="22"/>
                <w:szCs w:val="22"/>
                <w:lang w:eastAsia="en-IN"/>
              </w:rPr>
              <w:t>Motor Car</w:t>
            </w:r>
          </w:p>
        </w:tc>
        <w:tc>
          <w:tcPr>
            <w:tcW w:w="1842" w:type="dxa"/>
            <w:tcBorders>
              <w:top w:val="nil"/>
              <w:left w:val="nil"/>
              <w:bottom w:val="single" w:sz="4" w:space="0" w:color="auto"/>
              <w:right w:val="single" w:sz="4" w:space="0" w:color="auto"/>
            </w:tcBorders>
            <w:shd w:val="clear" w:color="auto" w:fill="auto"/>
            <w:noWrap/>
            <w:vAlign w:val="center"/>
            <w:hideMark/>
          </w:tcPr>
          <w:p w:rsidR="00432021" w:rsidRPr="00F857ED" w:rsidRDefault="00432021" w:rsidP="00432021">
            <w:pPr>
              <w:jc w:val="cente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0.02</w:t>
            </w:r>
          </w:p>
        </w:tc>
      </w:tr>
      <w:tr w:rsidR="00432021" w:rsidRPr="00F857ED" w:rsidTr="00F857ED">
        <w:trPr>
          <w:trHeight w:val="300"/>
          <w:tblHeader/>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32021" w:rsidRPr="00F857ED" w:rsidRDefault="00432021" w:rsidP="00432021">
            <w:pPr>
              <w:jc w:val="cente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76183</w:t>
            </w:r>
          </w:p>
        </w:tc>
        <w:tc>
          <w:tcPr>
            <w:tcW w:w="5254" w:type="dxa"/>
            <w:tcBorders>
              <w:top w:val="nil"/>
              <w:left w:val="nil"/>
              <w:bottom w:val="single" w:sz="4" w:space="0" w:color="auto"/>
              <w:right w:val="single" w:sz="4" w:space="0" w:color="auto"/>
            </w:tcBorders>
            <w:shd w:val="clear" w:color="auto" w:fill="auto"/>
            <w:noWrap/>
            <w:vAlign w:val="bottom"/>
            <w:hideMark/>
          </w:tcPr>
          <w:p w:rsidR="00432021" w:rsidRPr="00F857ED" w:rsidRDefault="00E25147" w:rsidP="00432021">
            <w:pP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Spares Device Maintenance</w:t>
            </w:r>
          </w:p>
        </w:tc>
        <w:tc>
          <w:tcPr>
            <w:tcW w:w="1842" w:type="dxa"/>
            <w:tcBorders>
              <w:top w:val="nil"/>
              <w:left w:val="nil"/>
              <w:bottom w:val="single" w:sz="4" w:space="0" w:color="auto"/>
              <w:right w:val="single" w:sz="4" w:space="0" w:color="auto"/>
            </w:tcBorders>
            <w:shd w:val="clear" w:color="auto" w:fill="auto"/>
            <w:noWrap/>
            <w:vAlign w:val="center"/>
            <w:hideMark/>
          </w:tcPr>
          <w:p w:rsidR="00432021" w:rsidRPr="00F857ED" w:rsidRDefault="00432021" w:rsidP="00432021">
            <w:pPr>
              <w:jc w:val="cente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0.01</w:t>
            </w:r>
          </w:p>
        </w:tc>
      </w:tr>
      <w:tr w:rsidR="00432021" w:rsidRPr="00F857ED" w:rsidTr="00F857ED">
        <w:trPr>
          <w:trHeight w:val="300"/>
          <w:tblHeader/>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32021" w:rsidRPr="00F857ED" w:rsidRDefault="00432021" w:rsidP="00432021">
            <w:pPr>
              <w:jc w:val="cente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76184</w:t>
            </w:r>
          </w:p>
        </w:tc>
        <w:tc>
          <w:tcPr>
            <w:tcW w:w="5254" w:type="dxa"/>
            <w:tcBorders>
              <w:top w:val="nil"/>
              <w:left w:val="nil"/>
              <w:bottom w:val="single" w:sz="4" w:space="0" w:color="auto"/>
              <w:right w:val="single" w:sz="4" w:space="0" w:color="auto"/>
            </w:tcBorders>
            <w:shd w:val="clear" w:color="auto" w:fill="auto"/>
            <w:noWrap/>
            <w:vAlign w:val="bottom"/>
            <w:hideMark/>
          </w:tcPr>
          <w:p w:rsidR="00432021" w:rsidRPr="00F857ED" w:rsidRDefault="00432021" w:rsidP="00432021">
            <w:pP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 xml:space="preserve">Expenses </w:t>
            </w:r>
            <w:r w:rsidR="00E25147" w:rsidRPr="00F857ED">
              <w:rPr>
                <w:rFonts w:ascii="Book Antiqua" w:eastAsia="Times New Roman" w:hAnsi="Book Antiqua" w:cs="Times New Roman"/>
                <w:color w:val="000000"/>
                <w:sz w:val="22"/>
                <w:szCs w:val="22"/>
                <w:lang w:eastAsia="en-IN"/>
              </w:rPr>
              <w:t xml:space="preserve">for Use of </w:t>
            </w:r>
            <w:r w:rsidRPr="00F857ED">
              <w:rPr>
                <w:rFonts w:ascii="Book Antiqua" w:eastAsia="Times New Roman" w:hAnsi="Book Antiqua" w:cs="Times New Roman"/>
                <w:color w:val="000000"/>
                <w:sz w:val="22"/>
                <w:szCs w:val="22"/>
                <w:lang w:eastAsia="en-IN"/>
              </w:rPr>
              <w:t xml:space="preserve">Sports Club </w:t>
            </w:r>
            <w:r w:rsidR="00E25147" w:rsidRPr="00F857ED">
              <w:rPr>
                <w:rFonts w:ascii="Book Antiqua" w:eastAsia="Times New Roman" w:hAnsi="Book Antiqua" w:cs="Times New Roman"/>
                <w:color w:val="000000"/>
                <w:sz w:val="22"/>
                <w:szCs w:val="22"/>
                <w:lang w:eastAsia="en-IN"/>
              </w:rPr>
              <w:t xml:space="preserve">or </w:t>
            </w:r>
            <w:r w:rsidRPr="00F857ED">
              <w:rPr>
                <w:rFonts w:ascii="Book Antiqua" w:eastAsia="Times New Roman" w:hAnsi="Book Antiqua" w:cs="Times New Roman"/>
                <w:color w:val="000000"/>
                <w:sz w:val="22"/>
                <w:szCs w:val="22"/>
                <w:lang w:eastAsia="en-IN"/>
              </w:rPr>
              <w:t xml:space="preserve">Similar </w:t>
            </w:r>
            <w:r w:rsidR="00E25147" w:rsidRPr="00F857ED">
              <w:rPr>
                <w:rFonts w:ascii="Book Antiqua" w:eastAsia="Times New Roman" w:hAnsi="Book Antiqua" w:cs="Times New Roman"/>
                <w:color w:val="000000"/>
                <w:sz w:val="22"/>
                <w:szCs w:val="22"/>
                <w:lang w:eastAsia="en-IN"/>
              </w:rPr>
              <w:t>Facility</w:t>
            </w:r>
          </w:p>
        </w:tc>
        <w:tc>
          <w:tcPr>
            <w:tcW w:w="1842" w:type="dxa"/>
            <w:tcBorders>
              <w:top w:val="nil"/>
              <w:left w:val="nil"/>
              <w:bottom w:val="single" w:sz="4" w:space="0" w:color="auto"/>
              <w:right w:val="single" w:sz="4" w:space="0" w:color="auto"/>
            </w:tcBorders>
            <w:shd w:val="clear" w:color="auto" w:fill="auto"/>
            <w:noWrap/>
            <w:vAlign w:val="center"/>
            <w:hideMark/>
          </w:tcPr>
          <w:p w:rsidR="00432021" w:rsidRPr="00F857ED" w:rsidRDefault="00432021" w:rsidP="00432021">
            <w:pPr>
              <w:jc w:val="cente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0.03</w:t>
            </w:r>
          </w:p>
        </w:tc>
      </w:tr>
      <w:tr w:rsidR="00432021" w:rsidRPr="00F857ED" w:rsidTr="00F857ED">
        <w:trPr>
          <w:trHeight w:val="300"/>
          <w:tblHeader/>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32021" w:rsidRPr="00F857ED" w:rsidRDefault="00432021" w:rsidP="00432021">
            <w:pPr>
              <w:jc w:val="cente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76185</w:t>
            </w:r>
          </w:p>
        </w:tc>
        <w:tc>
          <w:tcPr>
            <w:tcW w:w="5254" w:type="dxa"/>
            <w:tcBorders>
              <w:top w:val="nil"/>
              <w:left w:val="nil"/>
              <w:bottom w:val="single" w:sz="4" w:space="0" w:color="auto"/>
              <w:right w:val="single" w:sz="4" w:space="0" w:color="auto"/>
            </w:tcBorders>
            <w:shd w:val="clear" w:color="auto" w:fill="auto"/>
            <w:noWrap/>
            <w:vAlign w:val="bottom"/>
            <w:hideMark/>
          </w:tcPr>
          <w:p w:rsidR="00432021" w:rsidRPr="004C2287" w:rsidRDefault="00E25147" w:rsidP="00432021">
            <w:pPr>
              <w:rPr>
                <w:rFonts w:ascii="Book Antiqua" w:eastAsia="Times New Roman" w:hAnsi="Book Antiqua" w:cs="Times New Roman"/>
                <w:color w:val="000000"/>
                <w:lang w:eastAsia="en-IN"/>
              </w:rPr>
            </w:pPr>
            <w:r w:rsidRPr="004C2287">
              <w:rPr>
                <w:rFonts w:ascii="Book Antiqua" w:eastAsia="Times New Roman" w:hAnsi="Book Antiqua" w:cs="Times New Roman"/>
                <w:color w:val="000000"/>
                <w:sz w:val="22"/>
                <w:szCs w:val="22"/>
                <w:lang w:eastAsia="en-IN"/>
              </w:rPr>
              <w:t xml:space="preserve">Expenses for Gift </w:t>
            </w:r>
            <w:r w:rsidR="00A25C26" w:rsidRPr="004C2287">
              <w:rPr>
                <w:rFonts w:ascii="Book Antiqua" w:eastAsia="Times New Roman" w:hAnsi="Book Antiqua" w:cs="Times New Roman"/>
                <w:color w:val="000000"/>
                <w:sz w:val="22"/>
                <w:szCs w:val="22"/>
                <w:lang w:eastAsia="en-IN"/>
              </w:rPr>
              <w:t>to</w:t>
            </w:r>
            <w:r w:rsidRPr="004C2287">
              <w:rPr>
                <w:rFonts w:ascii="Book Antiqua" w:eastAsia="Times New Roman" w:hAnsi="Book Antiqua" w:cs="Times New Roman"/>
                <w:color w:val="000000"/>
                <w:sz w:val="22"/>
                <w:szCs w:val="22"/>
                <w:lang w:eastAsia="en-IN"/>
              </w:rPr>
              <w:t xml:space="preserve"> Employees</w:t>
            </w:r>
          </w:p>
        </w:tc>
        <w:tc>
          <w:tcPr>
            <w:tcW w:w="1842" w:type="dxa"/>
            <w:tcBorders>
              <w:top w:val="nil"/>
              <w:left w:val="nil"/>
              <w:bottom w:val="single" w:sz="4" w:space="0" w:color="auto"/>
              <w:right w:val="single" w:sz="4" w:space="0" w:color="auto"/>
            </w:tcBorders>
            <w:shd w:val="clear" w:color="auto" w:fill="auto"/>
            <w:noWrap/>
            <w:vAlign w:val="center"/>
            <w:hideMark/>
          </w:tcPr>
          <w:p w:rsidR="00432021" w:rsidRPr="00F857ED" w:rsidRDefault="00432021" w:rsidP="00432021">
            <w:pPr>
              <w:jc w:val="cente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0.03</w:t>
            </w:r>
          </w:p>
        </w:tc>
      </w:tr>
      <w:tr w:rsidR="00432021" w:rsidRPr="00F857ED" w:rsidTr="00F857ED">
        <w:trPr>
          <w:trHeight w:val="300"/>
          <w:tblHeader/>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32021" w:rsidRPr="00F857ED" w:rsidRDefault="00432021" w:rsidP="00432021">
            <w:pPr>
              <w:jc w:val="cente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76186</w:t>
            </w:r>
          </w:p>
        </w:tc>
        <w:tc>
          <w:tcPr>
            <w:tcW w:w="5254" w:type="dxa"/>
            <w:tcBorders>
              <w:top w:val="nil"/>
              <w:left w:val="nil"/>
              <w:bottom w:val="single" w:sz="4" w:space="0" w:color="auto"/>
              <w:right w:val="single" w:sz="4" w:space="0" w:color="auto"/>
            </w:tcBorders>
            <w:shd w:val="clear" w:color="auto" w:fill="auto"/>
            <w:noWrap/>
            <w:vAlign w:val="bottom"/>
            <w:hideMark/>
          </w:tcPr>
          <w:p w:rsidR="00432021" w:rsidRPr="004C2287" w:rsidRDefault="00432021" w:rsidP="00432021">
            <w:pPr>
              <w:rPr>
                <w:rFonts w:ascii="Book Antiqua" w:eastAsia="Times New Roman" w:hAnsi="Book Antiqua" w:cs="Times New Roman"/>
                <w:color w:val="000000"/>
                <w:lang w:eastAsia="en-IN"/>
              </w:rPr>
            </w:pPr>
            <w:r w:rsidRPr="004C2287">
              <w:rPr>
                <w:rFonts w:ascii="Book Antiqua" w:eastAsia="Times New Roman" w:hAnsi="Book Antiqua" w:cs="Times New Roman"/>
                <w:color w:val="000000"/>
                <w:sz w:val="22"/>
                <w:szCs w:val="22"/>
                <w:lang w:eastAsia="en-IN"/>
              </w:rPr>
              <w:t xml:space="preserve">Expenses </w:t>
            </w:r>
            <w:r w:rsidR="00E25147" w:rsidRPr="004C2287">
              <w:rPr>
                <w:rFonts w:ascii="Book Antiqua" w:eastAsia="Times New Roman" w:hAnsi="Book Antiqua" w:cs="Times New Roman"/>
                <w:color w:val="000000"/>
                <w:sz w:val="22"/>
                <w:szCs w:val="22"/>
                <w:lang w:eastAsia="en-IN"/>
              </w:rPr>
              <w:t xml:space="preserve">for </w:t>
            </w:r>
            <w:r w:rsidRPr="004C2287">
              <w:rPr>
                <w:rFonts w:ascii="Book Antiqua" w:eastAsia="Times New Roman" w:hAnsi="Book Antiqua" w:cs="Times New Roman"/>
                <w:color w:val="000000"/>
                <w:sz w:val="22"/>
                <w:szCs w:val="22"/>
                <w:lang w:eastAsia="en-IN"/>
              </w:rPr>
              <w:t>Lok Adalat</w:t>
            </w:r>
          </w:p>
        </w:tc>
        <w:tc>
          <w:tcPr>
            <w:tcW w:w="1842" w:type="dxa"/>
            <w:tcBorders>
              <w:top w:val="nil"/>
              <w:left w:val="nil"/>
              <w:bottom w:val="single" w:sz="4" w:space="0" w:color="auto"/>
              <w:right w:val="single" w:sz="4" w:space="0" w:color="auto"/>
            </w:tcBorders>
            <w:shd w:val="clear" w:color="auto" w:fill="auto"/>
            <w:noWrap/>
            <w:vAlign w:val="center"/>
            <w:hideMark/>
          </w:tcPr>
          <w:p w:rsidR="00432021" w:rsidRPr="00F857ED" w:rsidRDefault="00432021" w:rsidP="00432021">
            <w:pPr>
              <w:jc w:val="cente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0.03</w:t>
            </w:r>
          </w:p>
        </w:tc>
      </w:tr>
      <w:tr w:rsidR="00432021" w:rsidRPr="00F857ED" w:rsidTr="00F857ED">
        <w:trPr>
          <w:trHeight w:val="300"/>
          <w:tblHeader/>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32021" w:rsidRPr="00F857ED" w:rsidRDefault="00432021" w:rsidP="00432021">
            <w:pPr>
              <w:jc w:val="cente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76187</w:t>
            </w:r>
          </w:p>
        </w:tc>
        <w:tc>
          <w:tcPr>
            <w:tcW w:w="5254" w:type="dxa"/>
            <w:tcBorders>
              <w:top w:val="nil"/>
              <w:left w:val="nil"/>
              <w:bottom w:val="single" w:sz="4" w:space="0" w:color="auto"/>
              <w:right w:val="single" w:sz="4" w:space="0" w:color="auto"/>
            </w:tcBorders>
            <w:shd w:val="clear" w:color="auto" w:fill="auto"/>
            <w:noWrap/>
            <w:vAlign w:val="bottom"/>
            <w:hideMark/>
          </w:tcPr>
          <w:p w:rsidR="00432021" w:rsidRPr="004C2287" w:rsidRDefault="00E25147" w:rsidP="00432021">
            <w:pPr>
              <w:rPr>
                <w:rFonts w:ascii="Book Antiqua" w:eastAsia="Times New Roman" w:hAnsi="Book Antiqua" w:cs="Times New Roman"/>
                <w:color w:val="000000"/>
                <w:lang w:eastAsia="en-IN"/>
              </w:rPr>
            </w:pPr>
            <w:r w:rsidRPr="004C2287">
              <w:rPr>
                <w:rFonts w:ascii="Book Antiqua" w:eastAsia="Times New Roman" w:hAnsi="Book Antiqua" w:cs="Times New Roman"/>
                <w:color w:val="000000"/>
                <w:sz w:val="22"/>
                <w:szCs w:val="22"/>
                <w:lang w:eastAsia="en-IN"/>
              </w:rPr>
              <w:t>Expenses for Celebration of Events/Festival Etc</w:t>
            </w:r>
          </w:p>
        </w:tc>
        <w:tc>
          <w:tcPr>
            <w:tcW w:w="1842" w:type="dxa"/>
            <w:tcBorders>
              <w:top w:val="nil"/>
              <w:left w:val="nil"/>
              <w:bottom w:val="single" w:sz="4" w:space="0" w:color="auto"/>
              <w:right w:val="single" w:sz="4" w:space="0" w:color="auto"/>
            </w:tcBorders>
            <w:shd w:val="clear" w:color="auto" w:fill="auto"/>
            <w:noWrap/>
            <w:vAlign w:val="center"/>
            <w:hideMark/>
          </w:tcPr>
          <w:p w:rsidR="00432021" w:rsidRPr="00F857ED" w:rsidRDefault="00432021" w:rsidP="00432021">
            <w:pPr>
              <w:jc w:val="cente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0.50</w:t>
            </w:r>
          </w:p>
        </w:tc>
      </w:tr>
      <w:tr w:rsidR="00432021" w:rsidRPr="00F857ED" w:rsidTr="00F857ED">
        <w:trPr>
          <w:trHeight w:val="300"/>
          <w:tblHeader/>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32021" w:rsidRPr="00F857ED" w:rsidRDefault="00432021" w:rsidP="00432021">
            <w:pPr>
              <w:jc w:val="cente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76198</w:t>
            </w:r>
          </w:p>
        </w:tc>
        <w:tc>
          <w:tcPr>
            <w:tcW w:w="5254" w:type="dxa"/>
            <w:tcBorders>
              <w:top w:val="nil"/>
              <w:left w:val="nil"/>
              <w:bottom w:val="single" w:sz="4" w:space="0" w:color="auto"/>
              <w:right w:val="single" w:sz="4" w:space="0" w:color="auto"/>
            </w:tcBorders>
            <w:shd w:val="clear" w:color="auto" w:fill="auto"/>
            <w:noWrap/>
            <w:vAlign w:val="bottom"/>
            <w:hideMark/>
          </w:tcPr>
          <w:p w:rsidR="00432021" w:rsidRPr="00F857ED" w:rsidRDefault="00E25147" w:rsidP="00432021">
            <w:pP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 xml:space="preserve">License Fees </w:t>
            </w:r>
            <w:r>
              <w:rPr>
                <w:rFonts w:ascii="Book Antiqua" w:eastAsia="Times New Roman" w:hAnsi="Book Antiqua" w:cs="Times New Roman"/>
                <w:color w:val="000000"/>
                <w:sz w:val="22"/>
                <w:szCs w:val="22"/>
                <w:lang w:eastAsia="en-IN"/>
              </w:rPr>
              <w:t>t</w:t>
            </w:r>
            <w:r w:rsidRPr="00F857ED">
              <w:rPr>
                <w:rFonts w:ascii="Book Antiqua" w:eastAsia="Times New Roman" w:hAnsi="Book Antiqua" w:cs="Times New Roman"/>
                <w:color w:val="000000"/>
                <w:sz w:val="22"/>
                <w:szCs w:val="22"/>
                <w:lang w:eastAsia="en-IN"/>
              </w:rPr>
              <w:t>o G</w:t>
            </w:r>
            <w:r>
              <w:rPr>
                <w:rFonts w:ascii="Book Antiqua" w:eastAsia="Times New Roman" w:hAnsi="Book Antiqua" w:cs="Times New Roman"/>
                <w:color w:val="000000"/>
                <w:sz w:val="22"/>
                <w:szCs w:val="22"/>
                <w:lang w:eastAsia="en-IN"/>
              </w:rPr>
              <w:t>ERC</w:t>
            </w:r>
            <w:r w:rsidRPr="00F857ED">
              <w:rPr>
                <w:rFonts w:ascii="Book Antiqua" w:eastAsia="Times New Roman" w:hAnsi="Book Antiqua" w:cs="Times New Roman"/>
                <w:color w:val="000000"/>
                <w:sz w:val="22"/>
                <w:szCs w:val="22"/>
                <w:lang w:eastAsia="en-IN"/>
              </w:rPr>
              <w:t xml:space="preserve"> License Fees to Gujarat</w:t>
            </w:r>
          </w:p>
        </w:tc>
        <w:tc>
          <w:tcPr>
            <w:tcW w:w="1842" w:type="dxa"/>
            <w:tcBorders>
              <w:top w:val="nil"/>
              <w:left w:val="nil"/>
              <w:bottom w:val="single" w:sz="4" w:space="0" w:color="auto"/>
              <w:right w:val="single" w:sz="4" w:space="0" w:color="auto"/>
            </w:tcBorders>
            <w:shd w:val="clear" w:color="auto" w:fill="auto"/>
            <w:noWrap/>
            <w:vAlign w:val="center"/>
            <w:hideMark/>
          </w:tcPr>
          <w:p w:rsidR="00432021" w:rsidRPr="00F857ED" w:rsidRDefault="00432021" w:rsidP="00432021">
            <w:pPr>
              <w:jc w:val="cente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3.04</w:t>
            </w:r>
          </w:p>
        </w:tc>
      </w:tr>
      <w:tr w:rsidR="00432021" w:rsidRPr="00F857ED" w:rsidTr="00F857ED">
        <w:trPr>
          <w:trHeight w:val="300"/>
          <w:tblHeader/>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32021" w:rsidRPr="00F857ED" w:rsidRDefault="00432021" w:rsidP="00432021">
            <w:pPr>
              <w:jc w:val="cente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76270</w:t>
            </w:r>
          </w:p>
        </w:tc>
        <w:tc>
          <w:tcPr>
            <w:tcW w:w="5254" w:type="dxa"/>
            <w:tcBorders>
              <w:top w:val="nil"/>
              <w:left w:val="nil"/>
              <w:bottom w:val="single" w:sz="4" w:space="0" w:color="auto"/>
              <w:right w:val="single" w:sz="4" w:space="0" w:color="auto"/>
            </w:tcBorders>
            <w:shd w:val="clear" w:color="auto" w:fill="auto"/>
            <w:noWrap/>
            <w:vAlign w:val="bottom"/>
            <w:hideMark/>
          </w:tcPr>
          <w:p w:rsidR="00432021" w:rsidRPr="00F857ED" w:rsidRDefault="00E25147" w:rsidP="00432021">
            <w:pP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Incidental Stores Expenses</w:t>
            </w:r>
          </w:p>
        </w:tc>
        <w:tc>
          <w:tcPr>
            <w:tcW w:w="1842" w:type="dxa"/>
            <w:tcBorders>
              <w:top w:val="nil"/>
              <w:left w:val="nil"/>
              <w:bottom w:val="single" w:sz="4" w:space="0" w:color="auto"/>
              <w:right w:val="single" w:sz="4" w:space="0" w:color="auto"/>
            </w:tcBorders>
            <w:shd w:val="clear" w:color="auto" w:fill="auto"/>
            <w:noWrap/>
            <w:vAlign w:val="center"/>
            <w:hideMark/>
          </w:tcPr>
          <w:p w:rsidR="00432021" w:rsidRPr="00F857ED" w:rsidRDefault="00432021" w:rsidP="00432021">
            <w:pPr>
              <w:jc w:val="cente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8.19</w:t>
            </w:r>
          </w:p>
        </w:tc>
      </w:tr>
      <w:tr w:rsidR="00432021" w:rsidRPr="00F857ED" w:rsidTr="00F857ED">
        <w:trPr>
          <w:trHeight w:val="300"/>
          <w:tblHeader/>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32021" w:rsidRPr="00F857ED" w:rsidRDefault="00432021" w:rsidP="00432021">
            <w:pPr>
              <w:jc w:val="cente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76501</w:t>
            </w:r>
          </w:p>
        </w:tc>
        <w:tc>
          <w:tcPr>
            <w:tcW w:w="5254" w:type="dxa"/>
            <w:tcBorders>
              <w:top w:val="nil"/>
              <w:left w:val="nil"/>
              <w:bottom w:val="single" w:sz="4" w:space="0" w:color="auto"/>
              <w:right w:val="single" w:sz="4" w:space="0" w:color="auto"/>
            </w:tcBorders>
            <w:shd w:val="clear" w:color="auto" w:fill="auto"/>
            <w:noWrap/>
            <w:vAlign w:val="bottom"/>
            <w:hideMark/>
          </w:tcPr>
          <w:p w:rsidR="00432021" w:rsidRPr="00F857ED" w:rsidRDefault="00E25147" w:rsidP="00432021">
            <w:pP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Revenue Stamps on Receipts Issued by Board</w:t>
            </w:r>
          </w:p>
        </w:tc>
        <w:tc>
          <w:tcPr>
            <w:tcW w:w="1842" w:type="dxa"/>
            <w:tcBorders>
              <w:top w:val="nil"/>
              <w:left w:val="nil"/>
              <w:bottom w:val="single" w:sz="4" w:space="0" w:color="auto"/>
              <w:right w:val="single" w:sz="4" w:space="0" w:color="auto"/>
            </w:tcBorders>
            <w:shd w:val="clear" w:color="auto" w:fill="auto"/>
            <w:noWrap/>
            <w:vAlign w:val="center"/>
            <w:hideMark/>
          </w:tcPr>
          <w:p w:rsidR="00432021" w:rsidRPr="00F857ED" w:rsidRDefault="00432021" w:rsidP="00432021">
            <w:pPr>
              <w:jc w:val="center"/>
              <w:rPr>
                <w:rFonts w:ascii="Book Antiqua" w:eastAsia="Times New Roman" w:hAnsi="Book Antiqua" w:cs="Times New Roman"/>
                <w:color w:val="000000"/>
                <w:lang w:eastAsia="en-IN"/>
              </w:rPr>
            </w:pPr>
            <w:r w:rsidRPr="00F857ED">
              <w:rPr>
                <w:rFonts w:ascii="Book Antiqua" w:eastAsia="Times New Roman" w:hAnsi="Book Antiqua" w:cs="Times New Roman"/>
                <w:color w:val="000000"/>
                <w:sz w:val="22"/>
                <w:szCs w:val="22"/>
                <w:lang w:eastAsia="en-IN"/>
              </w:rPr>
              <w:t>0.12</w:t>
            </w:r>
          </w:p>
        </w:tc>
      </w:tr>
      <w:tr w:rsidR="00432021" w:rsidRPr="00F857ED" w:rsidTr="00F857ED">
        <w:trPr>
          <w:trHeight w:val="300"/>
          <w:tblHeader/>
          <w:jc w:val="center"/>
        </w:trPr>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432021" w:rsidRPr="00F857ED" w:rsidRDefault="00432021" w:rsidP="00432021">
            <w:pPr>
              <w:jc w:val="center"/>
              <w:rPr>
                <w:rFonts w:ascii="Book Antiqua" w:eastAsia="Times New Roman" w:hAnsi="Book Antiqua" w:cs="Times New Roman"/>
                <w:b/>
                <w:bCs/>
                <w:color w:val="000000"/>
                <w:lang w:eastAsia="en-IN"/>
              </w:rPr>
            </w:pPr>
            <w:r w:rsidRPr="00F857ED">
              <w:rPr>
                <w:rFonts w:ascii="Book Antiqua" w:eastAsia="Times New Roman" w:hAnsi="Book Antiqua" w:cs="Times New Roman"/>
                <w:b/>
                <w:bCs/>
                <w:color w:val="000000"/>
                <w:sz w:val="22"/>
                <w:szCs w:val="22"/>
                <w:lang w:eastAsia="en-IN"/>
              </w:rPr>
              <w:t> </w:t>
            </w:r>
          </w:p>
        </w:tc>
        <w:tc>
          <w:tcPr>
            <w:tcW w:w="5254" w:type="dxa"/>
            <w:tcBorders>
              <w:top w:val="nil"/>
              <w:left w:val="nil"/>
              <w:bottom w:val="single" w:sz="4" w:space="0" w:color="auto"/>
              <w:right w:val="single" w:sz="4" w:space="0" w:color="auto"/>
            </w:tcBorders>
            <w:shd w:val="clear" w:color="auto" w:fill="auto"/>
            <w:noWrap/>
            <w:vAlign w:val="bottom"/>
            <w:hideMark/>
          </w:tcPr>
          <w:p w:rsidR="00432021" w:rsidRPr="00F857ED" w:rsidRDefault="00432021" w:rsidP="00432021">
            <w:pPr>
              <w:rPr>
                <w:rFonts w:ascii="Book Antiqua" w:eastAsia="Times New Roman" w:hAnsi="Book Antiqua" w:cs="Times New Roman"/>
                <w:b/>
                <w:bCs/>
                <w:color w:val="000000"/>
                <w:lang w:eastAsia="en-IN"/>
              </w:rPr>
            </w:pPr>
            <w:r w:rsidRPr="00F857ED">
              <w:rPr>
                <w:rFonts w:ascii="Book Antiqua" w:eastAsia="Times New Roman" w:hAnsi="Book Antiqua" w:cs="Times New Roman"/>
                <w:b/>
                <w:bCs/>
                <w:color w:val="000000"/>
                <w:sz w:val="22"/>
                <w:szCs w:val="22"/>
                <w:lang w:eastAsia="en-IN"/>
              </w:rPr>
              <w:t>Total Other Administration &amp; general Expenses</w:t>
            </w:r>
          </w:p>
        </w:tc>
        <w:tc>
          <w:tcPr>
            <w:tcW w:w="1842" w:type="dxa"/>
            <w:tcBorders>
              <w:top w:val="nil"/>
              <w:left w:val="nil"/>
              <w:bottom w:val="single" w:sz="4" w:space="0" w:color="auto"/>
              <w:right w:val="single" w:sz="4" w:space="0" w:color="auto"/>
            </w:tcBorders>
            <w:shd w:val="clear" w:color="auto" w:fill="auto"/>
            <w:noWrap/>
            <w:vAlign w:val="center"/>
            <w:hideMark/>
          </w:tcPr>
          <w:p w:rsidR="00432021" w:rsidRPr="00F857ED" w:rsidRDefault="00432021" w:rsidP="00432021">
            <w:pPr>
              <w:jc w:val="center"/>
              <w:rPr>
                <w:rFonts w:ascii="Book Antiqua" w:eastAsia="Times New Roman" w:hAnsi="Book Antiqua" w:cs="Times New Roman"/>
                <w:b/>
                <w:bCs/>
                <w:color w:val="000000"/>
                <w:lang w:eastAsia="en-IN"/>
              </w:rPr>
            </w:pPr>
            <w:r w:rsidRPr="00F857ED">
              <w:rPr>
                <w:rFonts w:ascii="Book Antiqua" w:eastAsia="Times New Roman" w:hAnsi="Book Antiqua" w:cs="Times New Roman"/>
                <w:b/>
                <w:bCs/>
                <w:color w:val="000000"/>
                <w:sz w:val="22"/>
                <w:szCs w:val="22"/>
                <w:lang w:eastAsia="en-IN"/>
              </w:rPr>
              <w:t>16.99</w:t>
            </w:r>
          </w:p>
        </w:tc>
      </w:tr>
    </w:tbl>
    <w:p w:rsidR="00D41DC2" w:rsidRDefault="00D41DC2" w:rsidP="00D41DC2">
      <w:pPr>
        <w:spacing w:after="240"/>
        <w:ind w:left="709"/>
        <w:contextualSpacing/>
        <w:jc w:val="both"/>
        <w:rPr>
          <w:b/>
          <w:bCs/>
          <w:u w:val="single"/>
          <w:lang w:val="en-GB"/>
        </w:rPr>
      </w:pPr>
    </w:p>
    <w:p w:rsidR="00BA1863" w:rsidRDefault="00BA1863" w:rsidP="00D41DC2">
      <w:pPr>
        <w:spacing w:after="240"/>
        <w:ind w:left="709"/>
        <w:contextualSpacing/>
        <w:jc w:val="both"/>
        <w:rPr>
          <w:b/>
          <w:bCs/>
          <w:u w:val="single"/>
          <w:lang w:val="en-GB"/>
        </w:rPr>
      </w:pPr>
    </w:p>
    <w:p w:rsidR="00D20D68" w:rsidRPr="00A25C26" w:rsidRDefault="00D20D68">
      <w:pPr>
        <w:numPr>
          <w:ilvl w:val="0"/>
          <w:numId w:val="6"/>
        </w:numPr>
        <w:spacing w:after="240" w:line="276" w:lineRule="auto"/>
        <w:ind w:left="629" w:hanging="357"/>
        <w:jc w:val="both"/>
        <w:rPr>
          <w:b/>
          <w:bCs/>
          <w:color w:val="000000"/>
        </w:rPr>
      </w:pPr>
      <w:r w:rsidRPr="00A25C26">
        <w:rPr>
          <w:rFonts w:ascii="Book Antiqua" w:hAnsi="Book Antiqua"/>
          <w:b/>
          <w:bCs/>
          <w:color w:val="000000"/>
        </w:rPr>
        <w:t>UGVCL should reconcile the amount reflecting in annual accounts for A&amp;G expenses (Rs. 85.04 Crore) as against the amount claimed in Truing-up Petition (Rs. 90.05 Crore).</w:t>
      </w:r>
    </w:p>
    <w:p w:rsidR="00D41DC2" w:rsidRPr="00A25C26" w:rsidRDefault="00D41DC2" w:rsidP="005C597E">
      <w:pPr>
        <w:spacing w:after="240"/>
        <w:ind w:left="426"/>
        <w:jc w:val="both"/>
        <w:rPr>
          <w:rFonts w:ascii="Book Antiqua" w:hAnsi="Book Antiqua"/>
          <w:b/>
          <w:bCs/>
          <w:lang w:val="en-GB"/>
        </w:rPr>
      </w:pPr>
      <w:r w:rsidRPr="00A25C26">
        <w:rPr>
          <w:rFonts w:ascii="Book Antiqua" w:hAnsi="Book Antiqua"/>
          <w:b/>
          <w:bCs/>
          <w:lang w:val="en-GB"/>
        </w:rPr>
        <w:t>Compliance:</w:t>
      </w:r>
      <w:r w:rsidR="004020A0" w:rsidRPr="00A25C26">
        <w:rPr>
          <w:rFonts w:ascii="Book Antiqua" w:hAnsi="Book Antiqua"/>
          <w:b/>
          <w:bCs/>
          <w:lang w:val="en-GB"/>
        </w:rPr>
        <w:t xml:space="preserve"> -</w:t>
      </w:r>
    </w:p>
    <w:p w:rsidR="00D41DC2" w:rsidRPr="005C597E" w:rsidRDefault="00D41DC2" w:rsidP="005C597E">
      <w:pPr>
        <w:spacing w:after="240" w:line="312" w:lineRule="auto"/>
        <w:ind w:left="709"/>
        <w:jc w:val="both"/>
        <w:rPr>
          <w:rFonts w:ascii="Book Antiqua" w:hAnsi="Book Antiqua"/>
          <w:color w:val="000000"/>
        </w:rPr>
      </w:pPr>
      <w:r w:rsidRPr="005C597E">
        <w:rPr>
          <w:rFonts w:ascii="Book Antiqua" w:hAnsi="Book Antiqua"/>
          <w:color w:val="000000"/>
        </w:rPr>
        <w:t xml:space="preserve">The Petitioner has not claimed expenses of Rs. 0.35 Crore against CSR out of Rs. </w:t>
      </w:r>
      <w:r w:rsidR="00BA1863">
        <w:rPr>
          <w:rFonts w:ascii="Book Antiqua" w:hAnsi="Book Antiqua"/>
          <w:color w:val="000000"/>
        </w:rPr>
        <w:t>85</w:t>
      </w:r>
      <w:r w:rsidRPr="005C597E">
        <w:rPr>
          <w:rFonts w:ascii="Book Antiqua" w:hAnsi="Book Antiqua"/>
          <w:color w:val="000000"/>
        </w:rPr>
        <w:t>.</w:t>
      </w:r>
      <w:r w:rsidR="00BA1863">
        <w:rPr>
          <w:rFonts w:ascii="Book Antiqua" w:hAnsi="Book Antiqua"/>
          <w:color w:val="000000"/>
        </w:rPr>
        <w:t>04</w:t>
      </w:r>
      <w:r w:rsidRPr="005C597E">
        <w:rPr>
          <w:rFonts w:ascii="Book Antiqua" w:hAnsi="Book Antiqua"/>
          <w:color w:val="000000"/>
        </w:rPr>
        <w:t xml:space="preserve"> Crore as </w:t>
      </w:r>
      <w:r w:rsidR="00510712" w:rsidRPr="005C597E">
        <w:rPr>
          <w:rFonts w:ascii="Book Antiqua" w:hAnsi="Book Antiqua"/>
          <w:color w:val="000000"/>
        </w:rPr>
        <w:t>Accounted in A&amp;G Expense (Note 32)</w:t>
      </w:r>
      <w:r w:rsidRPr="005C597E">
        <w:rPr>
          <w:rFonts w:ascii="Book Antiqua" w:hAnsi="Book Antiqua"/>
          <w:color w:val="000000"/>
        </w:rPr>
        <w:t xml:space="preserve">. Additionally, the Petitioner has considered </w:t>
      </w:r>
      <w:r w:rsidR="00EA21A0" w:rsidRPr="005C597E">
        <w:rPr>
          <w:rFonts w:ascii="Book Antiqua" w:hAnsi="Book Antiqua"/>
          <w:color w:val="000000"/>
        </w:rPr>
        <w:t xml:space="preserve">Energy Conservation Expense, R&amp;D Expense </w:t>
      </w:r>
      <w:r w:rsidRPr="005C597E">
        <w:rPr>
          <w:rFonts w:ascii="Book Antiqua" w:hAnsi="Book Antiqua"/>
          <w:color w:val="000000"/>
        </w:rPr>
        <w:t xml:space="preserve">and Miscellaneous Losses &amp; Write-offs of Rs. </w:t>
      </w:r>
      <w:r w:rsidR="00EA21A0" w:rsidRPr="005C597E">
        <w:rPr>
          <w:rFonts w:ascii="Book Antiqua" w:hAnsi="Book Antiqua"/>
          <w:color w:val="000000"/>
        </w:rPr>
        <w:t>0.28</w:t>
      </w:r>
      <w:r w:rsidRPr="005C597E">
        <w:rPr>
          <w:rFonts w:ascii="Book Antiqua" w:hAnsi="Book Antiqua"/>
          <w:color w:val="000000"/>
        </w:rPr>
        <w:t xml:space="preserve"> Crore</w:t>
      </w:r>
      <w:r w:rsidR="00EA21A0" w:rsidRPr="005C597E">
        <w:rPr>
          <w:rFonts w:ascii="Book Antiqua" w:hAnsi="Book Antiqua"/>
          <w:color w:val="000000"/>
        </w:rPr>
        <w:t>, Rs. 0.15</w:t>
      </w:r>
      <w:r w:rsidRPr="005C597E">
        <w:rPr>
          <w:rFonts w:ascii="Book Antiqua" w:hAnsi="Book Antiqua"/>
          <w:color w:val="000000"/>
        </w:rPr>
        <w:t xml:space="preserve"> and Rs. </w:t>
      </w:r>
      <w:r w:rsidR="00EA21A0" w:rsidRPr="005C597E">
        <w:rPr>
          <w:rFonts w:ascii="Book Antiqua" w:hAnsi="Book Antiqua"/>
          <w:color w:val="000000"/>
        </w:rPr>
        <w:t>4</w:t>
      </w:r>
      <w:r w:rsidRPr="005C597E">
        <w:rPr>
          <w:rFonts w:ascii="Book Antiqua" w:hAnsi="Book Antiqua"/>
          <w:color w:val="000000"/>
        </w:rPr>
        <w:t>.</w:t>
      </w:r>
      <w:r w:rsidR="00EA21A0" w:rsidRPr="005C597E">
        <w:rPr>
          <w:rFonts w:ascii="Book Antiqua" w:hAnsi="Book Antiqua"/>
          <w:color w:val="000000"/>
        </w:rPr>
        <w:t>92</w:t>
      </w:r>
      <w:r w:rsidRPr="005C597E">
        <w:rPr>
          <w:rFonts w:ascii="Book Antiqua" w:hAnsi="Book Antiqua"/>
          <w:color w:val="000000"/>
        </w:rPr>
        <w:t xml:space="preserve"> Crore</w:t>
      </w:r>
      <w:r w:rsidR="00EA21A0" w:rsidRPr="005C597E">
        <w:rPr>
          <w:rFonts w:ascii="Book Antiqua" w:hAnsi="Book Antiqua"/>
          <w:color w:val="000000"/>
        </w:rPr>
        <w:t xml:space="preserve"> respectively</w:t>
      </w:r>
      <w:r w:rsidRPr="005C597E">
        <w:rPr>
          <w:rFonts w:ascii="Book Antiqua" w:hAnsi="Book Antiqua"/>
          <w:color w:val="000000"/>
        </w:rPr>
        <w:t xml:space="preserve"> in Note 3</w:t>
      </w:r>
      <w:r w:rsidR="00EA21A0" w:rsidRPr="005C597E">
        <w:rPr>
          <w:rFonts w:ascii="Book Antiqua" w:hAnsi="Book Antiqua"/>
          <w:color w:val="000000"/>
        </w:rPr>
        <w:t>2</w:t>
      </w:r>
      <w:r w:rsidRPr="005C597E">
        <w:rPr>
          <w:rFonts w:ascii="Book Antiqua" w:hAnsi="Book Antiqua"/>
          <w:color w:val="000000"/>
        </w:rPr>
        <w:t xml:space="preserve"> of Audited Accounts </w:t>
      </w:r>
      <w:r w:rsidR="00C704A3" w:rsidRPr="005C597E">
        <w:rPr>
          <w:rFonts w:ascii="Book Antiqua" w:hAnsi="Book Antiqua"/>
          <w:color w:val="000000"/>
        </w:rPr>
        <w:t>under Other Debits</w:t>
      </w:r>
      <w:r w:rsidRPr="005C597E">
        <w:rPr>
          <w:rFonts w:ascii="Book Antiqua" w:hAnsi="Book Antiqua"/>
          <w:color w:val="000000"/>
        </w:rPr>
        <w:t>. Accordingly, reconciliation of A&amp;G Expenses is submitted as shown in table below.</w:t>
      </w:r>
    </w:p>
    <w:tbl>
      <w:tblPr>
        <w:tblStyle w:val="TableGrid"/>
        <w:tblW w:w="0" w:type="auto"/>
        <w:jc w:val="center"/>
        <w:tblLook w:val="04A0"/>
      </w:tblPr>
      <w:tblGrid>
        <w:gridCol w:w="6799"/>
        <w:gridCol w:w="1608"/>
      </w:tblGrid>
      <w:tr w:rsidR="00D41DC2" w:rsidRPr="00F857ED" w:rsidTr="00CE416F">
        <w:trPr>
          <w:trHeight w:val="259"/>
          <w:jc w:val="center"/>
        </w:trPr>
        <w:tc>
          <w:tcPr>
            <w:tcW w:w="6799" w:type="dxa"/>
            <w:shd w:val="clear" w:color="auto" w:fill="FABF8F" w:themeFill="accent6" w:themeFillTint="99"/>
          </w:tcPr>
          <w:p w:rsidR="00D41DC2" w:rsidRPr="00F857ED" w:rsidRDefault="00D41DC2">
            <w:pPr>
              <w:spacing w:line="312" w:lineRule="auto"/>
              <w:jc w:val="both"/>
              <w:rPr>
                <w:rFonts w:ascii="Book Antiqua" w:hAnsi="Book Antiqua"/>
                <w:lang w:val="en-GB"/>
              </w:rPr>
            </w:pPr>
            <w:r w:rsidRPr="00F857ED">
              <w:rPr>
                <w:rFonts w:ascii="Book Antiqua" w:hAnsi="Book Antiqua"/>
                <w:b/>
                <w:bCs/>
                <w:lang w:val="en-GB"/>
              </w:rPr>
              <w:t>Particulars</w:t>
            </w:r>
          </w:p>
        </w:tc>
        <w:tc>
          <w:tcPr>
            <w:tcW w:w="1608" w:type="dxa"/>
            <w:shd w:val="clear" w:color="auto" w:fill="FABF8F" w:themeFill="accent6" w:themeFillTint="99"/>
          </w:tcPr>
          <w:p w:rsidR="003E4D9B" w:rsidRDefault="00D41DC2">
            <w:pPr>
              <w:spacing w:line="312" w:lineRule="auto"/>
              <w:jc w:val="both"/>
              <w:rPr>
                <w:rFonts w:ascii="Book Antiqua" w:hAnsi="Book Antiqua"/>
                <w:b/>
                <w:bCs/>
                <w:lang w:val="en-GB"/>
              </w:rPr>
            </w:pPr>
            <w:r w:rsidRPr="00F857ED">
              <w:rPr>
                <w:rFonts w:ascii="Book Antiqua" w:hAnsi="Book Antiqua"/>
                <w:b/>
                <w:bCs/>
                <w:lang w:val="en-GB"/>
              </w:rPr>
              <w:t xml:space="preserve">Amount </w:t>
            </w:r>
          </w:p>
          <w:p w:rsidR="00D41DC2" w:rsidRPr="00F857ED" w:rsidRDefault="00D41DC2">
            <w:pPr>
              <w:spacing w:line="312" w:lineRule="auto"/>
              <w:jc w:val="both"/>
              <w:rPr>
                <w:rFonts w:ascii="Book Antiqua" w:hAnsi="Book Antiqua"/>
                <w:lang w:val="en-GB"/>
              </w:rPr>
            </w:pPr>
            <w:r w:rsidRPr="00F857ED">
              <w:rPr>
                <w:rFonts w:ascii="Book Antiqua" w:hAnsi="Book Antiqua"/>
                <w:b/>
                <w:bCs/>
                <w:lang w:val="en-GB"/>
              </w:rPr>
              <w:t>(Rs. Crore)</w:t>
            </w:r>
          </w:p>
        </w:tc>
      </w:tr>
      <w:tr w:rsidR="00D41DC2" w:rsidRPr="00F857ED" w:rsidTr="00CE416F">
        <w:trPr>
          <w:trHeight w:val="70"/>
          <w:jc w:val="center"/>
        </w:trPr>
        <w:tc>
          <w:tcPr>
            <w:tcW w:w="6799" w:type="dxa"/>
          </w:tcPr>
          <w:p w:rsidR="00D41DC2" w:rsidRPr="00F857ED" w:rsidRDefault="00D41DC2" w:rsidP="005C597E">
            <w:pPr>
              <w:spacing w:line="312" w:lineRule="auto"/>
              <w:jc w:val="both"/>
              <w:rPr>
                <w:rFonts w:ascii="Book Antiqua" w:hAnsi="Book Antiqua"/>
                <w:lang w:val="en-GB"/>
              </w:rPr>
            </w:pPr>
            <w:r w:rsidRPr="00F857ED">
              <w:rPr>
                <w:rFonts w:ascii="Book Antiqua" w:hAnsi="Book Antiqua"/>
                <w:lang w:val="en-GB"/>
              </w:rPr>
              <w:t>A&amp;G Expenses as per Audited Accounts</w:t>
            </w:r>
          </w:p>
        </w:tc>
        <w:tc>
          <w:tcPr>
            <w:tcW w:w="1608" w:type="dxa"/>
          </w:tcPr>
          <w:p w:rsidR="00D41DC2" w:rsidRPr="00F857ED" w:rsidRDefault="00BA1863" w:rsidP="005C597E">
            <w:pPr>
              <w:spacing w:line="312" w:lineRule="auto"/>
              <w:jc w:val="right"/>
              <w:rPr>
                <w:rFonts w:ascii="Book Antiqua" w:hAnsi="Book Antiqua"/>
                <w:lang w:val="en-GB"/>
              </w:rPr>
            </w:pPr>
            <w:r w:rsidRPr="00F857ED">
              <w:rPr>
                <w:rFonts w:ascii="Book Antiqua" w:hAnsi="Book Antiqua"/>
                <w:lang w:val="en-GB"/>
              </w:rPr>
              <w:t>85.04</w:t>
            </w:r>
          </w:p>
        </w:tc>
      </w:tr>
      <w:tr w:rsidR="00D41DC2" w:rsidRPr="00F857ED" w:rsidTr="00CE416F">
        <w:trPr>
          <w:trHeight w:val="341"/>
          <w:jc w:val="center"/>
        </w:trPr>
        <w:tc>
          <w:tcPr>
            <w:tcW w:w="6799" w:type="dxa"/>
          </w:tcPr>
          <w:p w:rsidR="00D41DC2" w:rsidRPr="00F857ED" w:rsidRDefault="00D41DC2" w:rsidP="005C597E">
            <w:pPr>
              <w:spacing w:line="312" w:lineRule="auto"/>
              <w:jc w:val="both"/>
              <w:rPr>
                <w:rFonts w:ascii="Book Antiqua" w:hAnsi="Book Antiqua"/>
                <w:lang w:val="en-GB"/>
              </w:rPr>
            </w:pPr>
            <w:r w:rsidRPr="00F857ED">
              <w:rPr>
                <w:rFonts w:ascii="Book Antiqua" w:hAnsi="Book Antiqua"/>
                <w:lang w:val="en-GB"/>
              </w:rPr>
              <w:t>LESS: Expenses towards Corporate Social Responsibility (CSR)</w:t>
            </w:r>
          </w:p>
        </w:tc>
        <w:tc>
          <w:tcPr>
            <w:tcW w:w="1608" w:type="dxa"/>
          </w:tcPr>
          <w:p w:rsidR="00D41DC2" w:rsidRPr="00F857ED" w:rsidRDefault="00D41DC2" w:rsidP="005C597E">
            <w:pPr>
              <w:spacing w:line="312" w:lineRule="auto"/>
              <w:jc w:val="right"/>
              <w:rPr>
                <w:rFonts w:ascii="Book Antiqua" w:hAnsi="Book Antiqua"/>
                <w:lang w:val="en-GB"/>
              </w:rPr>
            </w:pPr>
            <w:r w:rsidRPr="00F857ED">
              <w:rPr>
                <w:rFonts w:ascii="Book Antiqua" w:hAnsi="Book Antiqua"/>
                <w:lang w:val="en-GB"/>
              </w:rPr>
              <w:t>(</w:t>
            </w:r>
            <w:r w:rsidR="00510712" w:rsidRPr="00F857ED">
              <w:rPr>
                <w:rFonts w:ascii="Book Antiqua" w:hAnsi="Book Antiqua"/>
                <w:lang w:val="en-GB"/>
              </w:rPr>
              <w:t>0</w:t>
            </w:r>
            <w:r w:rsidRPr="00F857ED">
              <w:rPr>
                <w:rFonts w:ascii="Book Antiqua" w:hAnsi="Book Antiqua"/>
                <w:lang w:val="en-GB"/>
              </w:rPr>
              <w:t>.</w:t>
            </w:r>
            <w:r w:rsidR="00510712" w:rsidRPr="00F857ED">
              <w:rPr>
                <w:rFonts w:ascii="Book Antiqua" w:hAnsi="Book Antiqua"/>
                <w:lang w:val="en-GB"/>
              </w:rPr>
              <w:t>35</w:t>
            </w:r>
            <w:r w:rsidRPr="00F857ED">
              <w:rPr>
                <w:rFonts w:ascii="Book Antiqua" w:hAnsi="Book Antiqua"/>
                <w:lang w:val="en-GB"/>
              </w:rPr>
              <w:t>)</w:t>
            </w:r>
          </w:p>
        </w:tc>
      </w:tr>
      <w:tr w:rsidR="00D41DC2" w:rsidRPr="00F857ED" w:rsidTr="00CE416F">
        <w:trPr>
          <w:trHeight w:val="341"/>
          <w:jc w:val="center"/>
        </w:trPr>
        <w:tc>
          <w:tcPr>
            <w:tcW w:w="6799" w:type="dxa"/>
          </w:tcPr>
          <w:p w:rsidR="00D41DC2" w:rsidRPr="00F857ED" w:rsidRDefault="00D41DC2" w:rsidP="005C597E">
            <w:pPr>
              <w:spacing w:line="312" w:lineRule="auto"/>
              <w:jc w:val="both"/>
              <w:rPr>
                <w:rFonts w:ascii="Book Antiqua" w:hAnsi="Book Antiqua"/>
                <w:lang w:val="en-GB"/>
              </w:rPr>
            </w:pPr>
            <w:r w:rsidRPr="00F857ED">
              <w:rPr>
                <w:rFonts w:ascii="Book Antiqua" w:hAnsi="Book Antiqua"/>
                <w:lang w:val="en-GB"/>
              </w:rPr>
              <w:lastRenderedPageBreak/>
              <w:t>ADD: Expenses</w:t>
            </w:r>
            <w:r w:rsidR="00510712" w:rsidRPr="00F857ED">
              <w:rPr>
                <w:rFonts w:ascii="Book Antiqua" w:hAnsi="Book Antiqua"/>
                <w:lang w:val="en-GB"/>
              </w:rPr>
              <w:t xml:space="preserve"> from Energy Conservation</w:t>
            </w:r>
          </w:p>
        </w:tc>
        <w:tc>
          <w:tcPr>
            <w:tcW w:w="1608" w:type="dxa"/>
          </w:tcPr>
          <w:p w:rsidR="00D41DC2" w:rsidRPr="00F857ED" w:rsidRDefault="00510712" w:rsidP="005C597E">
            <w:pPr>
              <w:spacing w:line="312" w:lineRule="auto"/>
              <w:jc w:val="right"/>
              <w:rPr>
                <w:rFonts w:ascii="Book Antiqua" w:hAnsi="Book Antiqua"/>
                <w:lang w:val="en-GB"/>
              </w:rPr>
            </w:pPr>
            <w:r w:rsidRPr="00F857ED">
              <w:rPr>
                <w:rFonts w:ascii="Book Antiqua" w:hAnsi="Book Antiqua"/>
                <w:lang w:val="en-GB"/>
              </w:rPr>
              <w:t>0.28</w:t>
            </w:r>
          </w:p>
        </w:tc>
      </w:tr>
      <w:tr w:rsidR="00D41DC2" w:rsidRPr="00F857ED" w:rsidTr="00CE416F">
        <w:trPr>
          <w:trHeight w:val="341"/>
          <w:jc w:val="center"/>
        </w:trPr>
        <w:tc>
          <w:tcPr>
            <w:tcW w:w="6799" w:type="dxa"/>
          </w:tcPr>
          <w:p w:rsidR="00D41DC2" w:rsidRPr="00F857ED" w:rsidRDefault="00D41DC2" w:rsidP="005C597E">
            <w:pPr>
              <w:spacing w:line="312" w:lineRule="auto"/>
              <w:jc w:val="both"/>
              <w:rPr>
                <w:rFonts w:ascii="Book Antiqua" w:hAnsi="Book Antiqua"/>
                <w:lang w:val="en-GB"/>
              </w:rPr>
            </w:pPr>
            <w:r w:rsidRPr="00F857ED">
              <w:rPr>
                <w:rFonts w:ascii="Book Antiqua" w:hAnsi="Book Antiqua"/>
                <w:lang w:val="en-GB"/>
              </w:rPr>
              <w:t>ADD: Miscellaneous Losses &amp; Write-offs</w:t>
            </w:r>
          </w:p>
        </w:tc>
        <w:tc>
          <w:tcPr>
            <w:tcW w:w="1608" w:type="dxa"/>
          </w:tcPr>
          <w:p w:rsidR="00D41DC2" w:rsidRPr="00F857ED" w:rsidRDefault="00510712" w:rsidP="005C597E">
            <w:pPr>
              <w:spacing w:line="312" w:lineRule="auto"/>
              <w:jc w:val="right"/>
              <w:rPr>
                <w:rFonts w:ascii="Book Antiqua" w:hAnsi="Book Antiqua"/>
                <w:lang w:val="en-GB"/>
              </w:rPr>
            </w:pPr>
            <w:r w:rsidRPr="00F857ED">
              <w:rPr>
                <w:rFonts w:ascii="Book Antiqua" w:hAnsi="Book Antiqua"/>
                <w:lang w:val="en-GB"/>
              </w:rPr>
              <w:t>4.92</w:t>
            </w:r>
          </w:p>
        </w:tc>
      </w:tr>
      <w:tr w:rsidR="003C57E5" w:rsidRPr="00F857ED" w:rsidTr="00CE416F">
        <w:trPr>
          <w:trHeight w:val="341"/>
          <w:jc w:val="center"/>
        </w:trPr>
        <w:tc>
          <w:tcPr>
            <w:tcW w:w="6799" w:type="dxa"/>
          </w:tcPr>
          <w:p w:rsidR="003C57E5" w:rsidRPr="00F857ED" w:rsidRDefault="003C57E5" w:rsidP="005C597E">
            <w:pPr>
              <w:spacing w:line="312" w:lineRule="auto"/>
              <w:jc w:val="both"/>
              <w:rPr>
                <w:rFonts w:ascii="Book Antiqua" w:hAnsi="Book Antiqua"/>
                <w:lang w:val="en-GB"/>
              </w:rPr>
            </w:pPr>
            <w:r w:rsidRPr="00F857ED">
              <w:rPr>
                <w:rFonts w:ascii="Book Antiqua" w:hAnsi="Book Antiqua"/>
                <w:lang w:val="en-GB"/>
              </w:rPr>
              <w:t>ADD: R&amp;D Expense</w:t>
            </w:r>
          </w:p>
        </w:tc>
        <w:tc>
          <w:tcPr>
            <w:tcW w:w="1608" w:type="dxa"/>
          </w:tcPr>
          <w:p w:rsidR="003C57E5" w:rsidRPr="00F857ED" w:rsidRDefault="005D21A5" w:rsidP="005C597E">
            <w:pPr>
              <w:spacing w:line="312" w:lineRule="auto"/>
              <w:jc w:val="right"/>
              <w:rPr>
                <w:rFonts w:ascii="Book Antiqua" w:hAnsi="Book Antiqua"/>
                <w:lang w:val="en-GB"/>
              </w:rPr>
            </w:pPr>
            <w:r w:rsidRPr="00F857ED">
              <w:rPr>
                <w:rFonts w:ascii="Book Antiqua" w:hAnsi="Book Antiqua"/>
                <w:lang w:val="en-GB"/>
              </w:rPr>
              <w:t>0</w:t>
            </w:r>
            <w:r w:rsidR="003C57E5" w:rsidRPr="00F857ED">
              <w:rPr>
                <w:rFonts w:ascii="Book Antiqua" w:hAnsi="Book Antiqua"/>
                <w:lang w:val="en-GB"/>
              </w:rPr>
              <w:t>.15</w:t>
            </w:r>
          </w:p>
        </w:tc>
      </w:tr>
      <w:tr w:rsidR="00D41DC2" w:rsidRPr="00F857ED" w:rsidTr="00CE416F">
        <w:trPr>
          <w:trHeight w:val="341"/>
          <w:jc w:val="center"/>
        </w:trPr>
        <w:tc>
          <w:tcPr>
            <w:tcW w:w="6799" w:type="dxa"/>
          </w:tcPr>
          <w:p w:rsidR="00D41DC2" w:rsidRPr="00F857ED" w:rsidRDefault="00D41DC2" w:rsidP="005C597E">
            <w:pPr>
              <w:spacing w:line="312" w:lineRule="auto"/>
              <w:jc w:val="both"/>
              <w:rPr>
                <w:rFonts w:ascii="Book Antiqua" w:hAnsi="Book Antiqua"/>
                <w:lang w:val="en-GB"/>
              </w:rPr>
            </w:pPr>
            <w:r w:rsidRPr="00F857ED">
              <w:rPr>
                <w:rFonts w:ascii="Book Antiqua" w:hAnsi="Book Antiqua"/>
                <w:lang w:val="en-GB"/>
              </w:rPr>
              <w:t>A&amp;G Expenses claimed in the Petition</w:t>
            </w:r>
          </w:p>
        </w:tc>
        <w:tc>
          <w:tcPr>
            <w:tcW w:w="1608" w:type="dxa"/>
          </w:tcPr>
          <w:p w:rsidR="00D41DC2" w:rsidRPr="00F857ED" w:rsidRDefault="00D41DC2" w:rsidP="005C597E">
            <w:pPr>
              <w:spacing w:line="312" w:lineRule="auto"/>
              <w:jc w:val="right"/>
              <w:rPr>
                <w:rFonts w:ascii="Book Antiqua" w:hAnsi="Book Antiqua"/>
                <w:lang w:val="en-GB"/>
              </w:rPr>
            </w:pPr>
            <w:r w:rsidRPr="00F857ED">
              <w:rPr>
                <w:rFonts w:ascii="Book Antiqua" w:hAnsi="Book Antiqua"/>
                <w:lang w:val="en-GB"/>
              </w:rPr>
              <w:t>90.0</w:t>
            </w:r>
            <w:r w:rsidR="0014686C" w:rsidRPr="00F857ED">
              <w:rPr>
                <w:rFonts w:ascii="Book Antiqua" w:hAnsi="Book Antiqua"/>
                <w:lang w:val="en-GB"/>
              </w:rPr>
              <w:t>5</w:t>
            </w:r>
          </w:p>
        </w:tc>
      </w:tr>
    </w:tbl>
    <w:p w:rsidR="00187354" w:rsidRPr="007D4215" w:rsidRDefault="00187354" w:rsidP="007D4215">
      <w:pPr>
        <w:spacing w:before="240" w:after="240" w:line="276" w:lineRule="auto"/>
        <w:ind w:left="629"/>
        <w:jc w:val="both"/>
        <w:rPr>
          <w:color w:val="000000"/>
        </w:rPr>
      </w:pPr>
    </w:p>
    <w:p w:rsidR="00D20D68" w:rsidRPr="00A25C26" w:rsidRDefault="00D20D68" w:rsidP="005C597E">
      <w:pPr>
        <w:numPr>
          <w:ilvl w:val="0"/>
          <w:numId w:val="6"/>
        </w:numPr>
        <w:spacing w:before="240" w:after="240" w:line="276" w:lineRule="auto"/>
        <w:ind w:left="629" w:hanging="357"/>
        <w:jc w:val="both"/>
        <w:rPr>
          <w:b/>
          <w:bCs/>
          <w:color w:val="000000"/>
        </w:rPr>
      </w:pPr>
      <w:r w:rsidRPr="00A25C26">
        <w:rPr>
          <w:rFonts w:ascii="Book Antiqua" w:hAnsi="Book Antiqua"/>
          <w:b/>
          <w:bCs/>
          <w:color w:val="000000"/>
        </w:rPr>
        <w:t>UGVCL should clarify whether it has claimed the expenses of Rs. 0.35 crore against Corporate Social Responsibility (CSR) under A&amp;G expenses.</w:t>
      </w:r>
    </w:p>
    <w:p w:rsidR="00C704A3" w:rsidRPr="00A25C26" w:rsidRDefault="00C704A3" w:rsidP="005C597E">
      <w:pPr>
        <w:spacing w:after="240"/>
        <w:jc w:val="both"/>
        <w:rPr>
          <w:rFonts w:ascii="Book Antiqua" w:hAnsi="Book Antiqua"/>
          <w:b/>
          <w:bCs/>
          <w:lang w:val="en-GB"/>
        </w:rPr>
      </w:pPr>
      <w:r w:rsidRPr="00A25C26">
        <w:rPr>
          <w:rFonts w:ascii="Book Antiqua" w:hAnsi="Book Antiqua"/>
          <w:b/>
          <w:bCs/>
          <w:lang w:val="en-GB"/>
        </w:rPr>
        <w:t>Compliance:</w:t>
      </w:r>
      <w:r w:rsidR="00187354" w:rsidRPr="00A25C26">
        <w:rPr>
          <w:rFonts w:ascii="Book Antiqua" w:hAnsi="Book Antiqua"/>
          <w:b/>
          <w:bCs/>
          <w:lang w:val="en-GB"/>
        </w:rPr>
        <w:t xml:space="preserve"> - </w:t>
      </w:r>
    </w:p>
    <w:p w:rsidR="00C704A3" w:rsidRPr="005C597E" w:rsidRDefault="00C704A3" w:rsidP="005C597E">
      <w:pPr>
        <w:spacing w:after="240" w:line="276" w:lineRule="auto"/>
        <w:ind w:left="629"/>
        <w:jc w:val="both"/>
        <w:rPr>
          <w:rFonts w:ascii="Book Antiqua" w:hAnsi="Book Antiqua"/>
          <w:color w:val="000000"/>
        </w:rPr>
      </w:pPr>
      <w:r w:rsidRPr="005C597E">
        <w:rPr>
          <w:rFonts w:ascii="Book Antiqua" w:hAnsi="Book Antiqua"/>
          <w:color w:val="000000"/>
        </w:rPr>
        <w:t>The Petitioner has not claimed the expenses against Corporate Social Responsibility (CSR) under A&amp;G expenses as shown in response to query above.</w:t>
      </w:r>
    </w:p>
    <w:p w:rsidR="00187354" w:rsidRPr="007D4215" w:rsidRDefault="00187354" w:rsidP="00A25C26">
      <w:pPr>
        <w:spacing w:after="240" w:line="276" w:lineRule="auto"/>
        <w:jc w:val="both"/>
        <w:rPr>
          <w:color w:val="000000"/>
        </w:rPr>
      </w:pPr>
    </w:p>
    <w:p w:rsidR="00D20D68" w:rsidRPr="00A25C26" w:rsidRDefault="00D20D68">
      <w:pPr>
        <w:numPr>
          <w:ilvl w:val="0"/>
          <w:numId w:val="6"/>
        </w:numPr>
        <w:spacing w:after="240" w:line="276" w:lineRule="auto"/>
        <w:ind w:left="629" w:hanging="357"/>
        <w:jc w:val="both"/>
        <w:rPr>
          <w:b/>
          <w:bCs/>
          <w:color w:val="000000"/>
        </w:rPr>
      </w:pPr>
      <w:r w:rsidRPr="00A25C26">
        <w:rPr>
          <w:rFonts w:ascii="Book Antiqua" w:hAnsi="Book Antiqua"/>
          <w:b/>
          <w:bCs/>
          <w:color w:val="000000"/>
        </w:rPr>
        <w:t>UGVCL should submit head/sub-head wise reasoning for increase in A&amp;G expenses as compared to approved (Rs. 80.02 Crore) and as compared to the amount claimed in Truing-up of FY 2017-18.</w:t>
      </w:r>
    </w:p>
    <w:p w:rsidR="00E30973" w:rsidRDefault="00E30973" w:rsidP="00E30973">
      <w:pPr>
        <w:spacing w:after="240" w:line="276" w:lineRule="auto"/>
        <w:jc w:val="both"/>
        <w:rPr>
          <w:rFonts w:ascii="Book Antiqua" w:hAnsi="Book Antiqua"/>
          <w:color w:val="000000"/>
        </w:rPr>
      </w:pPr>
      <w:r w:rsidRPr="00A25C26">
        <w:rPr>
          <w:rFonts w:ascii="Book Antiqua" w:hAnsi="Book Antiqua"/>
          <w:b/>
          <w:bCs/>
          <w:color w:val="000000"/>
        </w:rPr>
        <w:t>Compliance: -</w:t>
      </w:r>
    </w:p>
    <w:p w:rsidR="00112B79" w:rsidRDefault="00187354" w:rsidP="00B9383C">
      <w:pPr>
        <w:spacing w:after="240" w:line="276" w:lineRule="auto"/>
        <w:ind w:left="709"/>
        <w:jc w:val="both"/>
        <w:rPr>
          <w:rFonts w:ascii="Book Antiqua" w:hAnsi="Book Antiqua"/>
          <w:color w:val="000000"/>
        </w:rPr>
      </w:pPr>
      <w:r w:rsidRPr="007D4215">
        <w:rPr>
          <w:rFonts w:ascii="Book Antiqua" w:hAnsi="Book Antiqua"/>
          <w:color w:val="000000"/>
        </w:rPr>
        <w:t xml:space="preserve">Actual growth rate of A&amp;G Expense is more than 10.00%. But 5.72% growth rate </w:t>
      </w:r>
      <w:r w:rsidR="00EF65BC">
        <w:rPr>
          <w:rFonts w:ascii="Book Antiqua" w:hAnsi="Book Antiqua"/>
          <w:color w:val="000000"/>
        </w:rPr>
        <w:t xml:space="preserve">was </w:t>
      </w:r>
      <w:r w:rsidRPr="007D4215">
        <w:rPr>
          <w:rFonts w:ascii="Book Antiqua" w:hAnsi="Book Antiqua"/>
          <w:color w:val="000000"/>
        </w:rPr>
        <w:t xml:space="preserve">taken (as per MYT) at the time of projection. </w:t>
      </w:r>
      <w:r w:rsidR="00173E3F">
        <w:rPr>
          <w:rFonts w:ascii="Book Antiqua" w:hAnsi="Book Antiqua"/>
          <w:color w:val="000000"/>
        </w:rPr>
        <w:t>Therefore</w:t>
      </w:r>
      <w:r w:rsidRPr="007D4215">
        <w:rPr>
          <w:rFonts w:ascii="Book Antiqua" w:hAnsi="Book Antiqua"/>
          <w:color w:val="000000"/>
        </w:rPr>
        <w:t xml:space="preserve">, approved figure of FY 2018-19 is Rs.80.02 crores </w:t>
      </w:r>
      <w:r w:rsidR="00EF65BC">
        <w:rPr>
          <w:rFonts w:ascii="Book Antiqua" w:hAnsi="Book Antiqua"/>
          <w:color w:val="000000"/>
        </w:rPr>
        <w:t>vis-à-vis</w:t>
      </w:r>
      <w:r w:rsidRPr="007D4215">
        <w:rPr>
          <w:rFonts w:ascii="Book Antiqua" w:hAnsi="Book Antiqua"/>
          <w:color w:val="000000"/>
        </w:rPr>
        <w:t xml:space="preserve"> actual Rs.90.05 crores.Further, due to increased scale of distribution operations, </w:t>
      </w:r>
      <w:r w:rsidR="00173E3F">
        <w:rPr>
          <w:rFonts w:ascii="Book Antiqua" w:hAnsi="Book Antiqua"/>
          <w:color w:val="000000"/>
        </w:rPr>
        <w:t xml:space="preserve">segregation of </w:t>
      </w:r>
      <w:r w:rsidRPr="007D4215">
        <w:rPr>
          <w:rFonts w:ascii="Book Antiqua" w:hAnsi="Book Antiqua"/>
          <w:color w:val="000000"/>
        </w:rPr>
        <w:t>the existing sub-divisions and creation of new sub divisions</w:t>
      </w:r>
      <w:r w:rsidR="00173E3F">
        <w:rPr>
          <w:rFonts w:ascii="Book Antiqua" w:hAnsi="Book Antiqua"/>
          <w:color w:val="000000"/>
        </w:rPr>
        <w:t xml:space="preserve"> is unavoidable. This has resulted in increased </w:t>
      </w:r>
      <w:r w:rsidRPr="007D4215">
        <w:rPr>
          <w:rFonts w:ascii="Book Antiqua" w:hAnsi="Book Antiqua"/>
          <w:color w:val="000000"/>
        </w:rPr>
        <w:t xml:space="preserve">expenses </w:t>
      </w:r>
      <w:r w:rsidR="002F0AAC">
        <w:rPr>
          <w:rFonts w:ascii="Book Antiqua" w:hAnsi="Book Antiqua"/>
          <w:color w:val="000000"/>
        </w:rPr>
        <w:t>on account of</w:t>
      </w:r>
      <w:r w:rsidRPr="007D4215">
        <w:rPr>
          <w:rFonts w:ascii="Book Antiqua" w:hAnsi="Book Antiqua"/>
          <w:color w:val="000000"/>
        </w:rPr>
        <w:t xml:space="preserve"> rent, furniture and fixtures, computers, printers,mobile phones for spot billing, station</w:t>
      </w:r>
      <w:r w:rsidR="002F0AAC">
        <w:rPr>
          <w:rFonts w:ascii="Book Antiqua" w:hAnsi="Book Antiqua"/>
          <w:color w:val="000000"/>
        </w:rPr>
        <w:t>e</w:t>
      </w:r>
      <w:r w:rsidRPr="007D4215">
        <w:rPr>
          <w:rFonts w:ascii="Book Antiqua" w:hAnsi="Book Antiqua"/>
          <w:color w:val="000000"/>
        </w:rPr>
        <w:t>ry</w:t>
      </w:r>
      <w:r w:rsidR="002F0AAC">
        <w:rPr>
          <w:rFonts w:ascii="Book Antiqua" w:hAnsi="Book Antiqua"/>
          <w:color w:val="000000"/>
        </w:rPr>
        <w:t>, etc. These expenses increase along with</w:t>
      </w:r>
      <w:r w:rsidRPr="007D4215">
        <w:rPr>
          <w:rFonts w:ascii="Book Antiqua" w:hAnsi="Book Antiqua"/>
          <w:color w:val="000000"/>
        </w:rPr>
        <w:t xml:space="preserve"> increase in numbers of consumers</w:t>
      </w:r>
      <w:r w:rsidR="002F0AAC">
        <w:rPr>
          <w:rFonts w:ascii="Book Antiqua" w:hAnsi="Book Antiqua"/>
          <w:color w:val="000000"/>
        </w:rPr>
        <w:t xml:space="preserve"> and scale of operations</w:t>
      </w:r>
      <w:r w:rsidR="00DF3F72">
        <w:rPr>
          <w:rFonts w:ascii="Book Antiqua" w:hAnsi="Book Antiqua"/>
          <w:color w:val="000000"/>
        </w:rPr>
        <w:t xml:space="preserve"> are unavoidable to the distribution licensee</w:t>
      </w:r>
      <w:r w:rsidRPr="007D4215">
        <w:rPr>
          <w:rFonts w:ascii="Book Antiqua" w:hAnsi="Book Antiqua"/>
          <w:color w:val="000000"/>
        </w:rPr>
        <w:t>.</w:t>
      </w:r>
    </w:p>
    <w:p w:rsidR="00B9383C" w:rsidRPr="00B9383C" w:rsidRDefault="00B9383C" w:rsidP="00B9383C">
      <w:pPr>
        <w:spacing w:after="240" w:line="276" w:lineRule="auto"/>
        <w:jc w:val="both"/>
        <w:rPr>
          <w:rFonts w:ascii="Book Antiqua" w:hAnsi="Book Antiqua"/>
          <w:color w:val="000000"/>
        </w:rPr>
      </w:pPr>
    </w:p>
    <w:p w:rsidR="00D20D68" w:rsidRPr="00A25C26" w:rsidRDefault="00D20D68" w:rsidP="005C597E">
      <w:pPr>
        <w:numPr>
          <w:ilvl w:val="0"/>
          <w:numId w:val="6"/>
        </w:numPr>
        <w:spacing w:after="240" w:line="276" w:lineRule="auto"/>
        <w:ind w:left="630" w:hanging="357"/>
        <w:jc w:val="both"/>
        <w:rPr>
          <w:b/>
          <w:bCs/>
          <w:color w:val="000000"/>
        </w:rPr>
      </w:pPr>
      <w:r w:rsidRPr="00A25C26">
        <w:rPr>
          <w:rFonts w:ascii="Book Antiqua" w:hAnsi="Book Antiqua"/>
          <w:b/>
          <w:bCs/>
          <w:color w:val="000000"/>
        </w:rPr>
        <w:t>As regards </w:t>
      </w:r>
      <w:bookmarkStart w:id="5" w:name="_Hlk27840061"/>
      <w:r w:rsidRPr="00A25C26">
        <w:rPr>
          <w:rFonts w:ascii="Book Antiqua" w:hAnsi="Book Antiqua"/>
          <w:b/>
          <w:bCs/>
          <w:color w:val="000000"/>
        </w:rPr>
        <w:t>‘Other expense capitalized’ </w:t>
      </w:r>
      <w:bookmarkEnd w:id="5"/>
    </w:p>
    <w:p w:rsidR="00D20D68" w:rsidRPr="00A25C26" w:rsidRDefault="00D20D68" w:rsidP="005C597E">
      <w:pPr>
        <w:numPr>
          <w:ilvl w:val="1"/>
          <w:numId w:val="7"/>
        </w:numPr>
        <w:spacing w:after="240" w:line="276" w:lineRule="auto"/>
        <w:ind w:hanging="357"/>
        <w:jc w:val="both"/>
        <w:rPr>
          <w:rFonts w:eastAsia="Times New Roman"/>
          <w:b/>
          <w:bCs/>
          <w:color w:val="000000"/>
        </w:rPr>
      </w:pPr>
      <w:bookmarkStart w:id="6" w:name="_Hlk27840134"/>
      <w:r w:rsidRPr="00A25C26">
        <w:rPr>
          <w:rFonts w:ascii="Book Antiqua" w:eastAsia="Times New Roman" w:hAnsi="Book Antiqua"/>
          <w:b/>
          <w:bCs/>
          <w:color w:val="000000"/>
        </w:rPr>
        <w:t>UGVCL should reconcile the amount claimed in the Petition with the amounts appearing in the Audited Accounts under various heads, i.e., employee expenses capitalised (Rs. 79.96 crore), Finance Cost capitalised (Rs. 1.23 crore), A&amp;G expenses capitalised (Rs. 12.29 crore)</w:t>
      </w:r>
      <w:bookmarkEnd w:id="6"/>
    </w:p>
    <w:p w:rsidR="00E30973" w:rsidRPr="00A25C26" w:rsidRDefault="00D20D68" w:rsidP="00E30973">
      <w:pPr>
        <w:numPr>
          <w:ilvl w:val="1"/>
          <w:numId w:val="7"/>
        </w:numPr>
        <w:spacing w:after="240" w:line="276" w:lineRule="auto"/>
        <w:ind w:hanging="357"/>
        <w:jc w:val="both"/>
        <w:rPr>
          <w:rFonts w:eastAsia="Times New Roman"/>
          <w:b/>
          <w:bCs/>
          <w:color w:val="000000"/>
        </w:rPr>
      </w:pPr>
      <w:bookmarkStart w:id="7" w:name="_Hlk27840121"/>
      <w:r w:rsidRPr="00A25C26">
        <w:rPr>
          <w:rFonts w:ascii="Book Antiqua" w:eastAsia="Times New Roman" w:hAnsi="Book Antiqua"/>
          <w:b/>
          <w:bCs/>
          <w:color w:val="000000"/>
        </w:rPr>
        <w:t>UGVCL should explain the significant reduction in the amount </w:t>
      </w:r>
      <w:bookmarkStart w:id="8" w:name="_Hlk27840109"/>
      <w:bookmarkEnd w:id="7"/>
      <w:bookmarkEnd w:id="8"/>
      <w:r w:rsidRPr="00A25C26">
        <w:rPr>
          <w:rFonts w:ascii="Book Antiqua" w:eastAsia="Times New Roman" w:hAnsi="Book Antiqua"/>
          <w:b/>
          <w:bCs/>
          <w:color w:val="000000"/>
        </w:rPr>
        <w:t>though the actual capitalisation is higher as compared to approved capitalisation for FY 2018-19.</w:t>
      </w:r>
    </w:p>
    <w:p w:rsidR="00E30973" w:rsidRDefault="00E30973" w:rsidP="00E30973">
      <w:pPr>
        <w:spacing w:after="240" w:line="276" w:lineRule="auto"/>
        <w:jc w:val="both"/>
        <w:rPr>
          <w:rFonts w:ascii="Book Antiqua" w:eastAsia="Times New Roman" w:hAnsi="Book Antiqua"/>
          <w:color w:val="000000"/>
        </w:rPr>
      </w:pPr>
      <w:r w:rsidRPr="00A25C26">
        <w:rPr>
          <w:rFonts w:ascii="Book Antiqua" w:eastAsia="Times New Roman" w:hAnsi="Book Antiqua"/>
          <w:b/>
          <w:bCs/>
          <w:color w:val="000000"/>
        </w:rPr>
        <w:t>Compliance: -</w:t>
      </w:r>
    </w:p>
    <w:p w:rsidR="003A679F" w:rsidRDefault="00E30973" w:rsidP="00E30973">
      <w:pPr>
        <w:spacing w:after="240" w:line="276" w:lineRule="auto"/>
        <w:ind w:left="709"/>
        <w:jc w:val="both"/>
        <w:rPr>
          <w:rFonts w:ascii="Book Antiqua" w:hAnsi="Book Antiqua"/>
          <w:lang w:val="en-GB"/>
        </w:rPr>
      </w:pPr>
      <w:r>
        <w:rPr>
          <w:rFonts w:ascii="Book Antiqua" w:hAnsi="Book Antiqua"/>
          <w:lang w:val="en-GB"/>
        </w:rPr>
        <w:t xml:space="preserve">UGVCL has only claimed </w:t>
      </w:r>
      <w:r w:rsidR="003A679F">
        <w:rPr>
          <w:rFonts w:ascii="Book Antiqua" w:hAnsi="Book Antiqua"/>
          <w:lang w:val="en-GB"/>
        </w:rPr>
        <w:t xml:space="preserve">Employee expense capitalised and A&amp;G Expense capitalised.  </w:t>
      </w:r>
    </w:p>
    <w:p w:rsidR="00E30973" w:rsidRDefault="00E30973" w:rsidP="005C597E">
      <w:pPr>
        <w:spacing w:after="240" w:line="276" w:lineRule="auto"/>
        <w:ind w:left="709"/>
        <w:jc w:val="both"/>
        <w:rPr>
          <w:rFonts w:ascii="Book Antiqua" w:hAnsi="Book Antiqua"/>
          <w:lang w:val="en-GB"/>
        </w:rPr>
      </w:pPr>
      <w:r w:rsidRPr="00B92235">
        <w:rPr>
          <w:rFonts w:ascii="Book Antiqua" w:hAnsi="Book Antiqua"/>
          <w:lang w:val="en-GB"/>
        </w:rPr>
        <w:lastRenderedPageBreak/>
        <w:t>At the time of approval of</w:t>
      </w:r>
      <w:r>
        <w:rPr>
          <w:rFonts w:ascii="Book Antiqua" w:hAnsi="Book Antiqua"/>
          <w:color w:val="000000"/>
        </w:rPr>
        <w:t>Other expense capitalized in</w:t>
      </w:r>
      <w:r w:rsidRPr="00B92235">
        <w:rPr>
          <w:rFonts w:ascii="Book Antiqua" w:hAnsi="Book Antiqua"/>
          <w:lang w:val="en-GB"/>
        </w:rPr>
        <w:t xml:space="preserve"> MYT</w:t>
      </w:r>
      <w:r>
        <w:rPr>
          <w:rFonts w:ascii="Book Antiqua" w:hAnsi="Book Antiqua"/>
          <w:lang w:val="en-GB"/>
        </w:rPr>
        <w:t xml:space="preserve"> Order,</w:t>
      </w:r>
      <w:r w:rsidRPr="00B92235">
        <w:rPr>
          <w:rFonts w:ascii="Book Antiqua" w:hAnsi="Book Antiqua"/>
          <w:lang w:val="en-GB"/>
        </w:rPr>
        <w:t xml:space="preserve"> the Rate of Capitalization </w:t>
      </w:r>
      <w:r>
        <w:rPr>
          <w:rFonts w:ascii="Book Antiqua" w:hAnsi="Book Antiqua"/>
          <w:lang w:val="en-GB"/>
        </w:rPr>
        <w:t xml:space="preserve">i.e. ‘Head office </w:t>
      </w:r>
      <w:r w:rsidR="00515D68">
        <w:rPr>
          <w:rFonts w:ascii="Book Antiqua" w:hAnsi="Book Antiqua"/>
          <w:lang w:val="en-GB"/>
        </w:rPr>
        <w:t>Supervision</w:t>
      </w:r>
      <w:r>
        <w:rPr>
          <w:rFonts w:ascii="Book Antiqua" w:hAnsi="Book Antiqua"/>
          <w:lang w:val="en-GB"/>
        </w:rPr>
        <w:t xml:space="preserve"> Charges’ </w:t>
      </w:r>
      <w:r w:rsidRPr="00B92235">
        <w:rPr>
          <w:rFonts w:ascii="Book Antiqua" w:hAnsi="Book Antiqua"/>
          <w:lang w:val="en-GB"/>
        </w:rPr>
        <w:t xml:space="preserve">(HOSC) was </w:t>
      </w:r>
      <w:r>
        <w:rPr>
          <w:rFonts w:ascii="Book Antiqua" w:hAnsi="Book Antiqua"/>
          <w:lang w:val="en-GB"/>
        </w:rPr>
        <w:t xml:space="preserve">considered as </w:t>
      </w:r>
      <w:r w:rsidRPr="00B92235">
        <w:rPr>
          <w:rFonts w:ascii="Book Antiqua" w:hAnsi="Book Antiqua"/>
          <w:lang w:val="en-GB"/>
        </w:rPr>
        <w:t xml:space="preserve">25%. From the FY 2016-17, </w:t>
      </w:r>
      <w:r w:rsidR="00692826">
        <w:rPr>
          <w:rFonts w:ascii="Book Antiqua" w:hAnsi="Book Antiqua"/>
          <w:lang w:val="en-GB"/>
        </w:rPr>
        <w:t>U</w:t>
      </w:r>
      <w:r w:rsidRPr="00B92235">
        <w:rPr>
          <w:rFonts w:ascii="Book Antiqua" w:hAnsi="Book Antiqua"/>
          <w:lang w:val="en-GB"/>
        </w:rPr>
        <w:t>GVCL has changed the Rate of Capitalization (HOSC) from 25% to 15%. Hence there is reduction in the ‘Other expense capitalized’ as compared to</w:t>
      </w:r>
      <w:r>
        <w:rPr>
          <w:rFonts w:ascii="Book Antiqua" w:hAnsi="Book Antiqua"/>
          <w:lang w:val="en-GB"/>
        </w:rPr>
        <w:t xml:space="preserve"> approved amount in</w:t>
      </w:r>
      <w:r w:rsidRPr="00B92235">
        <w:rPr>
          <w:rFonts w:ascii="Book Antiqua" w:hAnsi="Book Antiqua"/>
          <w:lang w:val="en-GB"/>
        </w:rPr>
        <w:t xml:space="preserve"> MYT order.</w:t>
      </w:r>
    </w:p>
    <w:p w:rsidR="00112B79" w:rsidRPr="00E30973" w:rsidRDefault="00112B79" w:rsidP="005C597E">
      <w:pPr>
        <w:spacing w:after="240" w:line="276" w:lineRule="auto"/>
        <w:ind w:left="709"/>
        <w:jc w:val="both"/>
        <w:rPr>
          <w:rFonts w:eastAsia="Times New Roman"/>
          <w:color w:val="000000"/>
        </w:rPr>
      </w:pPr>
    </w:p>
    <w:p w:rsidR="00FB1ECA" w:rsidRPr="00A25C26" w:rsidRDefault="00D20D68">
      <w:pPr>
        <w:numPr>
          <w:ilvl w:val="0"/>
          <w:numId w:val="7"/>
        </w:numPr>
        <w:spacing w:after="240" w:line="276" w:lineRule="auto"/>
        <w:ind w:left="630" w:hanging="357"/>
        <w:jc w:val="both"/>
        <w:rPr>
          <w:b/>
          <w:bCs/>
          <w:color w:val="000000"/>
        </w:rPr>
      </w:pPr>
      <w:r w:rsidRPr="00A25C26">
        <w:rPr>
          <w:rFonts w:ascii="Book Antiqua" w:hAnsi="Book Antiqua"/>
          <w:b/>
          <w:bCs/>
          <w:color w:val="000000"/>
        </w:rPr>
        <w:t>UGVCL should reconcile the opening GFA as specified in Note 2 of the audited accounts (Rs. 4895.79 Crore) as compared to the opening GFA claimed in Table 23 of the Tariff Petition (Rs. 6352.54 Crore).</w:t>
      </w:r>
    </w:p>
    <w:p w:rsidR="00FB1ECA" w:rsidRPr="00A25C26" w:rsidRDefault="00FB1ECA" w:rsidP="00FB1ECA">
      <w:pPr>
        <w:spacing w:after="240" w:line="276" w:lineRule="auto"/>
        <w:ind w:left="630"/>
        <w:jc w:val="both"/>
        <w:rPr>
          <w:rFonts w:ascii="Book Antiqua" w:hAnsi="Book Antiqua"/>
          <w:b/>
          <w:bCs/>
          <w:color w:val="000000"/>
        </w:rPr>
      </w:pPr>
      <w:r w:rsidRPr="00A25C26">
        <w:rPr>
          <w:rFonts w:ascii="Book Antiqua" w:hAnsi="Book Antiqua"/>
          <w:b/>
          <w:bCs/>
          <w:color w:val="000000"/>
        </w:rPr>
        <w:t>Compliance: -</w:t>
      </w:r>
    </w:p>
    <w:p w:rsidR="00DF3F72" w:rsidRDefault="00DF3F72" w:rsidP="00DF3F72">
      <w:pPr>
        <w:spacing w:after="240" w:line="312" w:lineRule="atLeast"/>
        <w:ind w:left="629"/>
        <w:jc w:val="both"/>
        <w:rPr>
          <w:rFonts w:ascii="Book Antiqua" w:hAnsi="Book Antiqua"/>
          <w:color w:val="000000"/>
        </w:rPr>
      </w:pPr>
      <w:r>
        <w:rPr>
          <w:rFonts w:ascii="Book Antiqua" w:hAnsi="Book Antiqua"/>
          <w:color w:val="000000"/>
        </w:rPr>
        <w:t>In Tariff Petition</w:t>
      </w:r>
      <w:r w:rsidRPr="003548FB">
        <w:rPr>
          <w:rFonts w:ascii="Book Antiqua" w:hAnsi="Book Antiqua"/>
          <w:color w:val="000000"/>
        </w:rPr>
        <w:t xml:space="preserve">, </w:t>
      </w:r>
      <w:r>
        <w:rPr>
          <w:rFonts w:ascii="Book Antiqua" w:hAnsi="Book Antiqua"/>
          <w:color w:val="000000"/>
        </w:rPr>
        <w:t>U</w:t>
      </w:r>
      <w:r w:rsidRPr="003548FB">
        <w:rPr>
          <w:rFonts w:ascii="Book Antiqua" w:hAnsi="Book Antiqua"/>
          <w:color w:val="000000"/>
        </w:rPr>
        <w:t xml:space="preserve">GVCL has considered Rs. </w:t>
      </w:r>
      <w:r>
        <w:rPr>
          <w:rFonts w:ascii="Book Antiqua" w:hAnsi="Book Antiqua"/>
          <w:color w:val="000000"/>
        </w:rPr>
        <w:t>6,352.54</w:t>
      </w:r>
      <w:r w:rsidRPr="003548FB">
        <w:rPr>
          <w:rFonts w:ascii="Book Antiqua" w:hAnsi="Book Antiqua"/>
          <w:color w:val="000000"/>
        </w:rPr>
        <w:t xml:space="preserve"> C</w:t>
      </w:r>
      <w:r>
        <w:rPr>
          <w:rFonts w:ascii="Book Antiqua" w:hAnsi="Book Antiqua"/>
          <w:color w:val="000000"/>
        </w:rPr>
        <w:t>r</w:t>
      </w:r>
      <w:r w:rsidRPr="003548FB">
        <w:rPr>
          <w:rFonts w:ascii="Book Antiqua" w:hAnsi="Book Antiqua"/>
          <w:color w:val="000000"/>
        </w:rPr>
        <w:t xml:space="preserve">ore </w:t>
      </w:r>
      <w:r>
        <w:rPr>
          <w:rFonts w:ascii="Book Antiqua" w:hAnsi="Book Antiqua"/>
          <w:color w:val="000000"/>
        </w:rPr>
        <w:t xml:space="preserve">as </w:t>
      </w:r>
      <w:r w:rsidRPr="003548FB">
        <w:rPr>
          <w:rFonts w:ascii="Book Antiqua" w:hAnsi="Book Antiqua"/>
          <w:color w:val="000000"/>
        </w:rPr>
        <w:t xml:space="preserve">opening GFA for FY 2018-19 </w:t>
      </w:r>
      <w:r>
        <w:rPr>
          <w:rFonts w:ascii="Book Antiqua" w:hAnsi="Book Antiqua"/>
          <w:color w:val="000000"/>
        </w:rPr>
        <w:t xml:space="preserve">which is </w:t>
      </w:r>
      <w:r w:rsidRPr="003548FB">
        <w:rPr>
          <w:rFonts w:ascii="Book Antiqua" w:hAnsi="Book Antiqua"/>
          <w:color w:val="000000"/>
        </w:rPr>
        <w:t xml:space="preserve">same as closing GFA approved in </w:t>
      </w:r>
      <w:r>
        <w:rPr>
          <w:rFonts w:ascii="Book Antiqua" w:hAnsi="Book Antiqua"/>
          <w:color w:val="000000"/>
        </w:rPr>
        <w:t xml:space="preserve">MTR Order for </w:t>
      </w:r>
      <w:r w:rsidRPr="003548FB">
        <w:rPr>
          <w:rFonts w:ascii="Book Antiqua" w:hAnsi="Book Antiqua"/>
          <w:color w:val="000000"/>
        </w:rPr>
        <w:t>True</w:t>
      </w:r>
      <w:r>
        <w:rPr>
          <w:rFonts w:ascii="Book Antiqua" w:hAnsi="Book Antiqua"/>
          <w:color w:val="000000"/>
        </w:rPr>
        <w:t>-up</w:t>
      </w:r>
      <w:r w:rsidRPr="003548FB">
        <w:rPr>
          <w:rFonts w:ascii="Book Antiqua" w:hAnsi="Book Antiqua"/>
          <w:color w:val="000000"/>
        </w:rPr>
        <w:t xml:space="preserve"> of FY 2017-18. </w:t>
      </w:r>
    </w:p>
    <w:p w:rsidR="00DF3F72" w:rsidRDefault="00DF3F72" w:rsidP="00DF3F72">
      <w:pPr>
        <w:spacing w:after="240" w:line="312" w:lineRule="atLeast"/>
        <w:ind w:left="629"/>
        <w:jc w:val="both"/>
        <w:rPr>
          <w:rFonts w:ascii="Book Antiqua" w:hAnsi="Book Antiqua"/>
          <w:color w:val="000000"/>
        </w:rPr>
      </w:pPr>
      <w:r>
        <w:rPr>
          <w:rFonts w:ascii="Book Antiqua" w:hAnsi="Book Antiqua"/>
          <w:color w:val="000000"/>
        </w:rPr>
        <w:t>Audited o</w:t>
      </w:r>
      <w:r w:rsidRPr="003548FB">
        <w:rPr>
          <w:rFonts w:ascii="Book Antiqua" w:hAnsi="Book Antiqua"/>
          <w:color w:val="000000"/>
        </w:rPr>
        <w:t xml:space="preserve">pening GFA (Rs. </w:t>
      </w:r>
      <w:r>
        <w:rPr>
          <w:rFonts w:ascii="Book Antiqua" w:hAnsi="Book Antiqua"/>
          <w:color w:val="000000"/>
        </w:rPr>
        <w:t>4895.79</w:t>
      </w:r>
      <w:r w:rsidRPr="003548FB">
        <w:rPr>
          <w:rFonts w:ascii="Book Antiqua" w:hAnsi="Book Antiqua"/>
          <w:color w:val="000000"/>
        </w:rPr>
        <w:t xml:space="preserve"> Crore)</w:t>
      </w:r>
      <w:r>
        <w:rPr>
          <w:rFonts w:ascii="Book Antiqua" w:hAnsi="Book Antiqua"/>
          <w:color w:val="000000"/>
        </w:rPr>
        <w:t xml:space="preserve"> is </w:t>
      </w:r>
      <w:r w:rsidRPr="003548FB">
        <w:rPr>
          <w:rFonts w:ascii="Book Antiqua" w:hAnsi="Book Antiqua"/>
          <w:color w:val="000000"/>
        </w:rPr>
        <w:t>specified in Note 2 of the audited accounts. This variation is on accounts of adjustment as per the requirement of IndAS adopted from FY 2015-16.</w:t>
      </w:r>
      <w:r>
        <w:rPr>
          <w:rFonts w:ascii="Book Antiqua" w:hAnsi="Book Antiqua"/>
          <w:color w:val="000000"/>
        </w:rPr>
        <w:t xml:space="preserve"> Change in accounting standards is not made to impact GFA approved by the Hon’ble Commission.</w:t>
      </w:r>
    </w:p>
    <w:p w:rsidR="00112B79" w:rsidRPr="007D4215" w:rsidRDefault="00112B79" w:rsidP="00DF3F72">
      <w:pPr>
        <w:spacing w:line="276" w:lineRule="auto"/>
        <w:ind w:left="630"/>
        <w:jc w:val="both"/>
        <w:rPr>
          <w:rFonts w:ascii="Book Antiqua" w:eastAsia="Times New Roman" w:hAnsi="Book Antiqua"/>
          <w:color w:val="000000"/>
        </w:rPr>
      </w:pPr>
    </w:p>
    <w:p w:rsidR="00D20D68" w:rsidRPr="00A25C26" w:rsidRDefault="00D20D68" w:rsidP="005C597E">
      <w:pPr>
        <w:numPr>
          <w:ilvl w:val="0"/>
          <w:numId w:val="7"/>
        </w:numPr>
        <w:spacing w:after="240" w:line="276" w:lineRule="auto"/>
        <w:ind w:left="630" w:hanging="357"/>
        <w:jc w:val="both"/>
        <w:rPr>
          <w:rFonts w:ascii="Book Antiqua" w:hAnsi="Book Antiqua"/>
          <w:b/>
          <w:bCs/>
          <w:color w:val="000000"/>
        </w:rPr>
      </w:pPr>
      <w:r w:rsidRPr="00A25C26">
        <w:rPr>
          <w:rFonts w:ascii="Book Antiqua" w:hAnsi="Book Antiqua"/>
          <w:b/>
          <w:bCs/>
          <w:color w:val="000000"/>
        </w:rPr>
        <w:t>Regarding the computation of depreciation, UGVCL should:</w:t>
      </w:r>
    </w:p>
    <w:p w:rsidR="00FB1ECA" w:rsidRPr="005C597E" w:rsidRDefault="00D20D68" w:rsidP="005C597E">
      <w:pPr>
        <w:pStyle w:val="ListParagraph"/>
        <w:numPr>
          <w:ilvl w:val="1"/>
          <w:numId w:val="7"/>
        </w:numPr>
        <w:tabs>
          <w:tab w:val="clear" w:pos="1440"/>
          <w:tab w:val="num" w:pos="1134"/>
        </w:tabs>
        <w:spacing w:after="240"/>
        <w:ind w:left="1276" w:hanging="589"/>
        <w:jc w:val="both"/>
        <w:rPr>
          <w:rFonts w:ascii="Book Antiqua" w:hAnsi="Book Antiqua"/>
          <w:color w:val="000000"/>
          <w:sz w:val="24"/>
          <w:szCs w:val="24"/>
        </w:rPr>
      </w:pPr>
      <w:r w:rsidRPr="00A25C26">
        <w:rPr>
          <w:rFonts w:ascii="Book Antiqua" w:hAnsi="Book Antiqua"/>
          <w:b/>
          <w:bCs/>
          <w:color w:val="000000"/>
          <w:sz w:val="24"/>
          <w:szCs w:val="24"/>
        </w:rPr>
        <w:t>Clarify whether the deprecation on assets which already depreciated up to 90% of GFA has been considered</w:t>
      </w:r>
      <w:r w:rsidR="00FB1ECA" w:rsidRPr="00A25C26">
        <w:rPr>
          <w:rFonts w:ascii="Book Antiqua" w:hAnsi="Book Antiqua"/>
          <w:b/>
          <w:bCs/>
          <w:color w:val="000000"/>
          <w:sz w:val="24"/>
          <w:szCs w:val="24"/>
        </w:rPr>
        <w:t>.</w:t>
      </w:r>
    </w:p>
    <w:p w:rsidR="00FB1ECA" w:rsidRDefault="00FB1ECA" w:rsidP="005C597E">
      <w:pPr>
        <w:pStyle w:val="ListParagraph"/>
        <w:tabs>
          <w:tab w:val="num" w:pos="1134"/>
        </w:tabs>
        <w:spacing w:after="240"/>
        <w:ind w:left="1276" w:hanging="589"/>
        <w:jc w:val="both"/>
        <w:rPr>
          <w:rFonts w:ascii="Book Antiqua" w:hAnsi="Book Antiqua"/>
          <w:color w:val="000000"/>
          <w:sz w:val="24"/>
          <w:szCs w:val="24"/>
        </w:rPr>
      </w:pPr>
      <w:r w:rsidRPr="005C597E">
        <w:rPr>
          <w:rFonts w:ascii="Book Antiqua" w:hAnsi="Book Antiqua"/>
          <w:color w:val="000000"/>
          <w:sz w:val="24"/>
          <w:szCs w:val="24"/>
        </w:rPr>
        <w:t>Compliance: -</w:t>
      </w:r>
      <w:r w:rsidRPr="00FB1ECA">
        <w:rPr>
          <w:rFonts w:ascii="Book Antiqua" w:hAnsi="Book Antiqua"/>
          <w:color w:val="000000"/>
          <w:sz w:val="24"/>
          <w:szCs w:val="24"/>
        </w:rPr>
        <w:t xml:space="preserve">depreciation is charged up to 90% of the gross Value of Assets and after that, </w:t>
      </w:r>
      <w:r>
        <w:rPr>
          <w:rFonts w:ascii="Book Antiqua" w:hAnsi="Book Antiqua"/>
          <w:color w:val="000000"/>
          <w:sz w:val="24"/>
          <w:szCs w:val="24"/>
        </w:rPr>
        <w:t>U</w:t>
      </w:r>
      <w:r w:rsidRPr="00FB1ECA">
        <w:rPr>
          <w:rFonts w:ascii="Book Antiqua" w:hAnsi="Book Antiqua"/>
          <w:color w:val="000000"/>
          <w:sz w:val="24"/>
          <w:szCs w:val="24"/>
        </w:rPr>
        <w:t>GVCL is not charging any depreciation.</w:t>
      </w:r>
    </w:p>
    <w:p w:rsidR="0038113A" w:rsidRPr="005C597E" w:rsidRDefault="0038113A" w:rsidP="005C597E">
      <w:pPr>
        <w:pStyle w:val="ListParagraph"/>
        <w:tabs>
          <w:tab w:val="num" w:pos="1134"/>
        </w:tabs>
        <w:spacing w:after="240"/>
        <w:ind w:left="1276" w:hanging="589"/>
        <w:jc w:val="both"/>
        <w:rPr>
          <w:rFonts w:ascii="Book Antiqua" w:hAnsi="Book Antiqua"/>
          <w:color w:val="000000"/>
        </w:rPr>
      </w:pPr>
    </w:p>
    <w:p w:rsidR="00FB1ECA" w:rsidRPr="006633A6" w:rsidRDefault="00D20D68" w:rsidP="00FB1ECA">
      <w:pPr>
        <w:pStyle w:val="ListParagraph"/>
        <w:numPr>
          <w:ilvl w:val="1"/>
          <w:numId w:val="7"/>
        </w:numPr>
        <w:spacing w:after="240"/>
        <w:jc w:val="both"/>
        <w:rPr>
          <w:rFonts w:ascii="Book Antiqua" w:hAnsi="Book Antiqua"/>
          <w:b/>
          <w:bCs/>
          <w:color w:val="000000"/>
          <w:sz w:val="24"/>
          <w:szCs w:val="24"/>
        </w:rPr>
      </w:pPr>
      <w:r w:rsidRPr="006633A6">
        <w:rPr>
          <w:rFonts w:ascii="Book Antiqua" w:hAnsi="Book Antiqua"/>
          <w:b/>
          <w:bCs/>
          <w:color w:val="000000"/>
          <w:sz w:val="24"/>
          <w:szCs w:val="24"/>
        </w:rPr>
        <w:t>Confirm whether depreciation has been claimed on assets funded by grants and consumer contribution.</w:t>
      </w:r>
    </w:p>
    <w:p w:rsidR="00DF3F72" w:rsidRDefault="00FB1ECA" w:rsidP="00DF3F72">
      <w:pPr>
        <w:spacing w:after="240" w:line="312" w:lineRule="atLeast"/>
        <w:ind w:left="709"/>
        <w:jc w:val="both"/>
        <w:rPr>
          <w:rFonts w:ascii="Book Antiqua" w:hAnsi="Book Antiqua"/>
          <w:color w:val="000000"/>
        </w:rPr>
      </w:pPr>
      <w:r w:rsidRPr="006633A6">
        <w:rPr>
          <w:rFonts w:ascii="Book Antiqua" w:hAnsi="Book Antiqua"/>
          <w:b/>
          <w:bCs/>
          <w:color w:val="000000"/>
        </w:rPr>
        <w:t>Compliance: -</w:t>
      </w:r>
      <w:r w:rsidR="00DF3F72" w:rsidRPr="00853C06">
        <w:rPr>
          <w:rFonts w:ascii="Book Antiqua" w:hAnsi="Book Antiqua"/>
          <w:color w:val="000000"/>
        </w:rPr>
        <w:t>The depreciation is charged as per the rates specified in MYT regulation 2016 (5.28%) on the assets created from Grants, Subsidies and consumer contribution. Similarly, the deferred revenue is also booked on these assets at the rate of 5.28% to match the depreciation expense</w:t>
      </w:r>
      <w:r w:rsidR="00CD4C37">
        <w:rPr>
          <w:rFonts w:ascii="Book Antiqua" w:hAnsi="Book Antiqua"/>
          <w:color w:val="000000"/>
        </w:rPr>
        <w:t xml:space="preserve"> in Note 28 ‘Other Income’</w:t>
      </w:r>
      <w:r w:rsidR="00DF3F72" w:rsidRPr="00853C06">
        <w:rPr>
          <w:rFonts w:ascii="Book Antiqua" w:hAnsi="Book Antiqua"/>
          <w:color w:val="000000"/>
        </w:rPr>
        <w:t xml:space="preserve">. </w:t>
      </w:r>
      <w:r w:rsidR="00CD4C37">
        <w:rPr>
          <w:rFonts w:ascii="Book Antiqua" w:hAnsi="Book Antiqua"/>
          <w:bCs/>
          <w:lang w:val="en-GB"/>
        </w:rPr>
        <w:t>Same is considered in Tariff Petition as Non-Tariff Income.</w:t>
      </w:r>
    </w:p>
    <w:p w:rsidR="00FB1ECA" w:rsidRPr="005C597E" w:rsidRDefault="00FB1ECA">
      <w:pPr>
        <w:spacing w:after="240"/>
        <w:ind w:left="709"/>
        <w:jc w:val="both"/>
        <w:rPr>
          <w:rFonts w:ascii="Book Antiqua" w:hAnsi="Book Antiqua"/>
          <w:color w:val="000000"/>
        </w:rPr>
      </w:pPr>
    </w:p>
    <w:p w:rsidR="00515D68" w:rsidRPr="006633A6" w:rsidRDefault="00D20D68" w:rsidP="006633A6">
      <w:pPr>
        <w:pStyle w:val="ListParagraph"/>
        <w:numPr>
          <w:ilvl w:val="1"/>
          <w:numId w:val="7"/>
        </w:numPr>
        <w:spacing w:after="240"/>
        <w:ind w:left="1418"/>
        <w:jc w:val="both"/>
        <w:rPr>
          <w:rFonts w:ascii="Book Antiqua" w:hAnsi="Book Antiqua"/>
          <w:b/>
          <w:bCs/>
          <w:color w:val="000000"/>
        </w:rPr>
      </w:pPr>
      <w:r w:rsidRPr="006633A6">
        <w:rPr>
          <w:rFonts w:ascii="Book Antiqua" w:hAnsi="Book Antiqua"/>
          <w:b/>
          <w:bCs/>
          <w:color w:val="000000"/>
          <w:sz w:val="24"/>
          <w:szCs w:val="24"/>
        </w:rPr>
        <w:t>Justify the average rate of depreciation of 5.55% claimed, when the bulk of the assets are in the Plant &amp; Machinery and Lines &amp; Cable network category, which has depreciation rate of 5.28%</w:t>
      </w:r>
      <w:r w:rsidR="00515D68" w:rsidRPr="006633A6">
        <w:rPr>
          <w:rFonts w:ascii="Book Antiqua" w:hAnsi="Book Antiqua"/>
          <w:b/>
          <w:bCs/>
          <w:color w:val="000000"/>
          <w:sz w:val="24"/>
          <w:szCs w:val="24"/>
        </w:rPr>
        <w:t>.</w:t>
      </w:r>
    </w:p>
    <w:p w:rsidR="0047700B" w:rsidRPr="006633A6" w:rsidRDefault="0047700B" w:rsidP="00515D68">
      <w:pPr>
        <w:pStyle w:val="ListParagraph"/>
        <w:spacing w:after="240"/>
        <w:ind w:left="709"/>
        <w:jc w:val="both"/>
        <w:rPr>
          <w:rFonts w:ascii="Book Antiqua" w:hAnsi="Book Antiqua"/>
          <w:b/>
          <w:bCs/>
          <w:color w:val="000000"/>
        </w:rPr>
      </w:pPr>
      <w:r w:rsidRPr="006633A6">
        <w:rPr>
          <w:rFonts w:ascii="Book Antiqua" w:hAnsi="Book Antiqua"/>
          <w:b/>
          <w:bCs/>
          <w:color w:val="000000"/>
        </w:rPr>
        <w:t>Compliance: -</w:t>
      </w:r>
    </w:p>
    <w:p w:rsidR="003223D4" w:rsidRDefault="003223D4" w:rsidP="003223D4">
      <w:pPr>
        <w:spacing w:after="240" w:line="312" w:lineRule="atLeast"/>
        <w:ind w:left="709"/>
        <w:jc w:val="both"/>
        <w:rPr>
          <w:rFonts w:ascii="Book Antiqua" w:hAnsi="Book Antiqua"/>
          <w:color w:val="000000"/>
        </w:rPr>
      </w:pPr>
      <w:r w:rsidRPr="00CC31EB">
        <w:rPr>
          <w:rFonts w:ascii="Book Antiqua" w:hAnsi="Book Antiqua"/>
          <w:color w:val="000000"/>
        </w:rPr>
        <w:lastRenderedPageBreak/>
        <w:t>The Rate of Depreciation applicable on the assets is as per the GERC MYT Regulation, 2016 and same is mentioned in Note 1</w:t>
      </w:r>
      <w:r>
        <w:rPr>
          <w:rFonts w:ascii="Book Antiqua" w:hAnsi="Book Antiqua"/>
          <w:color w:val="000000"/>
        </w:rPr>
        <w:t>.3 ‘Property, Plant and Equipment’</w:t>
      </w:r>
      <w:r w:rsidRPr="00CC31EB">
        <w:rPr>
          <w:rFonts w:ascii="Book Antiqua" w:hAnsi="Book Antiqua"/>
          <w:color w:val="000000"/>
        </w:rPr>
        <w:t xml:space="preserve"> of the Audited Account. Accordingly, </w:t>
      </w:r>
      <w:r>
        <w:rPr>
          <w:rFonts w:ascii="Book Antiqua" w:hAnsi="Book Antiqua"/>
          <w:color w:val="000000"/>
        </w:rPr>
        <w:t>U</w:t>
      </w:r>
      <w:r w:rsidRPr="00CC31EB">
        <w:rPr>
          <w:rFonts w:ascii="Book Antiqua" w:hAnsi="Book Antiqua"/>
          <w:color w:val="000000"/>
        </w:rPr>
        <w:t>GVCL has claimed the depreciation as computed in the audited account.</w:t>
      </w:r>
    </w:p>
    <w:p w:rsidR="00305EDD" w:rsidRDefault="0047700B" w:rsidP="00305EDD">
      <w:pPr>
        <w:spacing w:after="240"/>
        <w:ind w:left="709"/>
        <w:jc w:val="both"/>
        <w:rPr>
          <w:rFonts w:ascii="Book Antiqua" w:hAnsi="Book Antiqua"/>
          <w:color w:val="000000"/>
        </w:rPr>
      </w:pPr>
      <w:r w:rsidRPr="003223D4">
        <w:rPr>
          <w:rFonts w:ascii="Book Antiqua" w:hAnsi="Book Antiqua"/>
          <w:color w:val="000000"/>
        </w:rPr>
        <w:t xml:space="preserve">The Calculation of Average rate of Depreciation has been done based on Depreciation amount and the average of </w:t>
      </w:r>
      <w:r w:rsidR="006633A6" w:rsidRPr="003223D4">
        <w:rPr>
          <w:rFonts w:ascii="Book Antiqua" w:hAnsi="Book Antiqua"/>
          <w:color w:val="000000"/>
        </w:rPr>
        <w:t>o</w:t>
      </w:r>
      <w:r w:rsidRPr="003223D4">
        <w:rPr>
          <w:rFonts w:ascii="Book Antiqua" w:hAnsi="Book Antiqua"/>
          <w:color w:val="000000"/>
        </w:rPr>
        <w:t>pening and closing balance. It is to be noted that by doing this the addition has been considered half whereas for the addition made in 1st half of the year, amount of depreciation will be higher than the depreciation on half value</w:t>
      </w:r>
      <w:r w:rsidR="00305EDD" w:rsidRPr="003223D4">
        <w:rPr>
          <w:rFonts w:ascii="Book Antiqua" w:hAnsi="Book Antiqua"/>
          <w:color w:val="000000"/>
        </w:rPr>
        <w:t>.</w:t>
      </w:r>
    </w:p>
    <w:p w:rsidR="00FB1ECA" w:rsidRPr="00515D68" w:rsidRDefault="00D20D68" w:rsidP="00FB1ECA">
      <w:pPr>
        <w:pStyle w:val="ListParagraph"/>
        <w:numPr>
          <w:ilvl w:val="1"/>
          <w:numId w:val="7"/>
        </w:numPr>
        <w:spacing w:after="240"/>
        <w:jc w:val="both"/>
        <w:rPr>
          <w:rFonts w:ascii="Book Antiqua" w:hAnsi="Book Antiqua"/>
          <w:b/>
          <w:bCs/>
          <w:color w:val="000000"/>
          <w:sz w:val="24"/>
          <w:szCs w:val="24"/>
        </w:rPr>
      </w:pPr>
      <w:r w:rsidRPr="00515D68">
        <w:rPr>
          <w:rFonts w:ascii="Book Antiqua" w:hAnsi="Book Antiqua"/>
          <w:b/>
          <w:bCs/>
          <w:color w:val="000000"/>
          <w:sz w:val="24"/>
          <w:szCs w:val="24"/>
        </w:rPr>
        <w:t>Justify the higher depreciation rates considered for all assets as compared to the depreciation rates specified in the GERC MYT Regulations, as seen from Form 5</w:t>
      </w:r>
      <w:r w:rsidR="0038113A" w:rsidRPr="00515D68">
        <w:rPr>
          <w:rFonts w:ascii="Book Antiqua" w:hAnsi="Book Antiqua"/>
          <w:b/>
          <w:bCs/>
          <w:color w:val="000000"/>
          <w:sz w:val="24"/>
          <w:szCs w:val="24"/>
        </w:rPr>
        <w:t>.</w:t>
      </w:r>
    </w:p>
    <w:p w:rsidR="00FB1ECA" w:rsidRPr="00515D68" w:rsidRDefault="00FB1ECA" w:rsidP="00FB1ECA">
      <w:pPr>
        <w:pStyle w:val="ListParagraph"/>
        <w:spacing w:after="240"/>
        <w:jc w:val="both"/>
        <w:rPr>
          <w:rFonts w:ascii="Book Antiqua" w:hAnsi="Book Antiqua"/>
          <w:b/>
          <w:bCs/>
          <w:color w:val="000000"/>
          <w:sz w:val="24"/>
          <w:szCs w:val="24"/>
        </w:rPr>
      </w:pPr>
      <w:r w:rsidRPr="00515D68">
        <w:rPr>
          <w:rFonts w:ascii="Book Antiqua" w:hAnsi="Book Antiqua"/>
          <w:b/>
          <w:bCs/>
          <w:color w:val="000000"/>
          <w:sz w:val="24"/>
          <w:szCs w:val="24"/>
        </w:rPr>
        <w:t>Compliance: -</w:t>
      </w:r>
    </w:p>
    <w:p w:rsidR="00FB1ECA" w:rsidRPr="00E00FE1" w:rsidRDefault="0047700B" w:rsidP="005C597E">
      <w:pPr>
        <w:pStyle w:val="ListParagraph"/>
        <w:spacing w:after="240"/>
        <w:jc w:val="both"/>
        <w:rPr>
          <w:rFonts w:ascii="Book Antiqua" w:hAnsi="Book Antiqua"/>
          <w:color w:val="000000"/>
          <w:sz w:val="24"/>
          <w:szCs w:val="24"/>
        </w:rPr>
      </w:pPr>
      <w:r w:rsidRPr="00E00FE1">
        <w:rPr>
          <w:rFonts w:ascii="Book Antiqua" w:hAnsi="Book Antiqua"/>
          <w:color w:val="000000"/>
          <w:sz w:val="24"/>
          <w:szCs w:val="24"/>
        </w:rPr>
        <w:t xml:space="preserve">Depreciation has been calculated based on the depreciation rates mentioned in </w:t>
      </w:r>
      <w:r w:rsidR="00305EDD">
        <w:rPr>
          <w:rFonts w:ascii="Book Antiqua" w:hAnsi="Book Antiqua"/>
          <w:color w:val="000000"/>
          <w:sz w:val="24"/>
          <w:szCs w:val="24"/>
        </w:rPr>
        <w:t xml:space="preserve">GERC </w:t>
      </w:r>
      <w:r w:rsidRPr="00E00FE1">
        <w:rPr>
          <w:rFonts w:ascii="Book Antiqua" w:hAnsi="Book Antiqua"/>
          <w:color w:val="000000"/>
          <w:sz w:val="24"/>
          <w:szCs w:val="24"/>
        </w:rPr>
        <w:t>MYT regulation</w:t>
      </w:r>
      <w:r w:rsidR="00305EDD">
        <w:rPr>
          <w:rFonts w:ascii="Book Antiqua" w:hAnsi="Book Antiqua"/>
          <w:color w:val="000000"/>
          <w:sz w:val="24"/>
          <w:szCs w:val="24"/>
        </w:rPr>
        <w:t>, 2016</w:t>
      </w:r>
      <w:r w:rsidRPr="00E00FE1">
        <w:rPr>
          <w:rFonts w:ascii="Book Antiqua" w:hAnsi="Book Antiqua"/>
          <w:color w:val="000000"/>
          <w:sz w:val="24"/>
          <w:szCs w:val="24"/>
        </w:rPr>
        <w:t xml:space="preserve"> only</w:t>
      </w:r>
      <w:r w:rsidR="0038113A" w:rsidRPr="00E00FE1">
        <w:rPr>
          <w:rFonts w:ascii="Book Antiqua" w:hAnsi="Book Antiqua"/>
          <w:color w:val="000000"/>
          <w:sz w:val="24"/>
          <w:szCs w:val="24"/>
        </w:rPr>
        <w:t>.</w:t>
      </w:r>
      <w:r w:rsidR="00515D68">
        <w:rPr>
          <w:rFonts w:ascii="Book Antiqua" w:hAnsi="Book Antiqua"/>
          <w:color w:val="000000"/>
          <w:sz w:val="24"/>
          <w:szCs w:val="24"/>
        </w:rPr>
        <w:t xml:space="preserve"> Same has been clarified in Note 1 – 1.3 –(iii) of the audited account. </w:t>
      </w:r>
    </w:p>
    <w:p w:rsidR="0038113A" w:rsidRPr="00E00FE1" w:rsidRDefault="0038113A" w:rsidP="005C597E">
      <w:pPr>
        <w:pStyle w:val="ListParagraph"/>
        <w:spacing w:after="240"/>
        <w:jc w:val="both"/>
        <w:rPr>
          <w:rFonts w:ascii="Book Antiqua" w:hAnsi="Book Antiqua"/>
          <w:color w:val="000000"/>
          <w:sz w:val="24"/>
          <w:szCs w:val="24"/>
        </w:rPr>
      </w:pPr>
    </w:p>
    <w:p w:rsidR="00D20D68" w:rsidRPr="00BB57F2" w:rsidRDefault="00D20D68" w:rsidP="005C597E">
      <w:pPr>
        <w:numPr>
          <w:ilvl w:val="0"/>
          <w:numId w:val="8"/>
        </w:numPr>
        <w:spacing w:after="240" w:line="276" w:lineRule="auto"/>
        <w:ind w:left="630" w:hanging="357"/>
        <w:jc w:val="both"/>
        <w:rPr>
          <w:b/>
          <w:bCs/>
          <w:color w:val="000000"/>
        </w:rPr>
      </w:pPr>
      <w:r w:rsidRPr="00BB57F2">
        <w:rPr>
          <w:rFonts w:ascii="Book Antiqua" w:hAnsi="Book Antiqua"/>
          <w:b/>
          <w:bCs/>
          <w:color w:val="000000"/>
        </w:rPr>
        <w:t>As regards the interest on loan, UGVCL should</w:t>
      </w:r>
    </w:p>
    <w:p w:rsidR="00A87140" w:rsidRDefault="00D20D68" w:rsidP="007D4215">
      <w:pPr>
        <w:numPr>
          <w:ilvl w:val="1"/>
          <w:numId w:val="8"/>
        </w:numPr>
        <w:spacing w:after="240" w:line="276" w:lineRule="auto"/>
        <w:ind w:hanging="357"/>
        <w:jc w:val="both"/>
        <w:rPr>
          <w:rFonts w:ascii="Book Antiqua" w:eastAsia="Times New Roman" w:hAnsi="Book Antiqua"/>
          <w:color w:val="000000"/>
        </w:rPr>
      </w:pPr>
      <w:r>
        <w:rPr>
          <w:rFonts w:ascii="Book Antiqua" w:eastAsia="Times New Roman" w:hAnsi="Book Antiqua"/>
          <w:color w:val="000000"/>
        </w:rPr>
        <w:t xml:space="preserve">Provide detailed computation of weighted average interest rate on actual loan portfolio for FY 2018-19 along with the supporting documents </w:t>
      </w:r>
      <w:r w:rsidRPr="0038113A">
        <w:rPr>
          <w:rFonts w:ascii="Book Antiqua" w:eastAsia="Times New Roman" w:hAnsi="Book Antiqua"/>
          <w:color w:val="000000"/>
        </w:rPr>
        <w:t>substantiating the loan amounts</w:t>
      </w:r>
      <w:r>
        <w:rPr>
          <w:rFonts w:ascii="Book Antiqua" w:eastAsia="Times New Roman" w:hAnsi="Book Antiqua"/>
          <w:color w:val="000000"/>
        </w:rPr>
        <w:t xml:space="preserve"> and the interest rate paid on the respective loans.</w:t>
      </w:r>
      <w:r w:rsidR="00A87140" w:rsidRPr="007D4215">
        <w:rPr>
          <w:rFonts w:ascii="Book Antiqua" w:eastAsia="Times New Roman" w:hAnsi="Book Antiqua"/>
          <w:color w:val="000000"/>
        </w:rPr>
        <w:t>Following will be provided.</w:t>
      </w:r>
    </w:p>
    <w:p w:rsidR="00515D68" w:rsidRPr="007D4215" w:rsidRDefault="00515D68" w:rsidP="00515D68">
      <w:pPr>
        <w:spacing w:line="276" w:lineRule="auto"/>
        <w:ind w:left="1440"/>
        <w:jc w:val="right"/>
        <w:rPr>
          <w:rFonts w:ascii="Book Antiqua" w:eastAsia="Times New Roman" w:hAnsi="Book Antiqua"/>
          <w:color w:val="000000"/>
        </w:rPr>
      </w:pPr>
      <w:r>
        <w:rPr>
          <w:rFonts w:ascii="Book Antiqua" w:eastAsia="Times New Roman" w:hAnsi="Book Antiqua"/>
          <w:color w:val="000000"/>
        </w:rPr>
        <w:t>In Rs. Crore</w:t>
      </w:r>
    </w:p>
    <w:tbl>
      <w:tblPr>
        <w:tblW w:w="9129" w:type="dxa"/>
        <w:tblInd w:w="675" w:type="dxa"/>
        <w:tblLook w:val="04A0"/>
      </w:tblPr>
      <w:tblGrid>
        <w:gridCol w:w="1395"/>
        <w:gridCol w:w="1190"/>
        <w:gridCol w:w="1323"/>
        <w:gridCol w:w="1576"/>
        <w:gridCol w:w="1173"/>
        <w:gridCol w:w="1056"/>
        <w:gridCol w:w="1416"/>
      </w:tblGrid>
      <w:tr w:rsidR="00A87140" w:rsidRPr="002A7580" w:rsidTr="00BB57F2">
        <w:trPr>
          <w:trHeight w:val="280"/>
        </w:trPr>
        <w:tc>
          <w:tcPr>
            <w:tcW w:w="1395"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A87140" w:rsidRPr="002A7580" w:rsidRDefault="00A87140" w:rsidP="005C597E">
            <w:pPr>
              <w:spacing w:after="240" w:line="276" w:lineRule="auto"/>
              <w:contextualSpacing/>
              <w:rPr>
                <w:rFonts w:ascii="Book Antiqua" w:eastAsia="Times New Roman" w:hAnsi="Book Antiqua"/>
                <w:b/>
                <w:bCs/>
                <w:color w:val="000000"/>
                <w:lang w:eastAsia="en-IN"/>
              </w:rPr>
            </w:pPr>
            <w:r w:rsidRPr="002A7580">
              <w:rPr>
                <w:rFonts w:ascii="Book Antiqua" w:eastAsia="Times New Roman" w:hAnsi="Book Antiqua"/>
                <w:b/>
                <w:bCs/>
                <w:color w:val="000000"/>
                <w:lang w:eastAsia="en-IN"/>
              </w:rPr>
              <w:t>Particular</w:t>
            </w:r>
          </w:p>
        </w:tc>
        <w:tc>
          <w:tcPr>
            <w:tcW w:w="1190"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A87140" w:rsidRPr="002A7580" w:rsidRDefault="00A87140" w:rsidP="005C597E">
            <w:pPr>
              <w:spacing w:after="240" w:line="276" w:lineRule="auto"/>
              <w:contextualSpacing/>
              <w:jc w:val="center"/>
              <w:rPr>
                <w:rFonts w:ascii="Book Antiqua" w:eastAsia="Times New Roman" w:hAnsi="Book Antiqua"/>
                <w:b/>
                <w:bCs/>
                <w:color w:val="000000"/>
                <w:lang w:eastAsia="en-IN"/>
              </w:rPr>
            </w:pPr>
            <w:r w:rsidRPr="002A7580">
              <w:rPr>
                <w:rFonts w:ascii="Book Antiqua" w:eastAsia="Times New Roman" w:hAnsi="Book Antiqua"/>
                <w:b/>
                <w:bCs/>
                <w:color w:val="000000"/>
                <w:lang w:eastAsia="en-IN"/>
              </w:rPr>
              <w:t>Opening Loan</w:t>
            </w:r>
          </w:p>
        </w:tc>
        <w:tc>
          <w:tcPr>
            <w:tcW w:w="1323"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A87140" w:rsidRPr="002A7580" w:rsidRDefault="00A87140" w:rsidP="005C597E">
            <w:pPr>
              <w:spacing w:after="240" w:line="276" w:lineRule="auto"/>
              <w:contextualSpacing/>
              <w:jc w:val="center"/>
              <w:rPr>
                <w:rFonts w:ascii="Book Antiqua" w:eastAsia="Times New Roman" w:hAnsi="Book Antiqua"/>
                <w:b/>
                <w:bCs/>
                <w:color w:val="000000"/>
                <w:lang w:eastAsia="en-IN"/>
              </w:rPr>
            </w:pPr>
            <w:r w:rsidRPr="002A7580">
              <w:rPr>
                <w:rFonts w:ascii="Book Antiqua" w:eastAsia="Times New Roman" w:hAnsi="Book Antiqua"/>
                <w:b/>
                <w:bCs/>
                <w:color w:val="000000"/>
                <w:lang w:eastAsia="en-IN"/>
              </w:rPr>
              <w:t>Additions</w:t>
            </w:r>
          </w:p>
        </w:tc>
        <w:tc>
          <w:tcPr>
            <w:tcW w:w="1576"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A87140" w:rsidRPr="002A7580" w:rsidRDefault="00A87140" w:rsidP="005C597E">
            <w:pPr>
              <w:spacing w:after="240" w:line="276" w:lineRule="auto"/>
              <w:contextualSpacing/>
              <w:jc w:val="center"/>
              <w:rPr>
                <w:rFonts w:ascii="Book Antiqua" w:eastAsia="Times New Roman" w:hAnsi="Book Antiqua"/>
                <w:b/>
                <w:bCs/>
                <w:color w:val="000000"/>
                <w:lang w:eastAsia="en-IN"/>
              </w:rPr>
            </w:pPr>
            <w:r w:rsidRPr="002A7580">
              <w:rPr>
                <w:rFonts w:ascii="Book Antiqua" w:eastAsia="Times New Roman" w:hAnsi="Book Antiqua"/>
                <w:b/>
                <w:bCs/>
                <w:color w:val="000000"/>
                <w:lang w:eastAsia="en-IN"/>
              </w:rPr>
              <w:t>Repayments</w:t>
            </w:r>
          </w:p>
        </w:tc>
        <w:tc>
          <w:tcPr>
            <w:tcW w:w="1173"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A87140" w:rsidRPr="002A7580" w:rsidRDefault="00A87140" w:rsidP="005C597E">
            <w:pPr>
              <w:spacing w:after="240" w:line="276" w:lineRule="auto"/>
              <w:contextualSpacing/>
              <w:jc w:val="center"/>
              <w:rPr>
                <w:rFonts w:ascii="Book Antiqua" w:eastAsia="Times New Roman" w:hAnsi="Book Antiqua"/>
                <w:b/>
                <w:bCs/>
                <w:color w:val="000000"/>
                <w:lang w:eastAsia="en-IN"/>
              </w:rPr>
            </w:pPr>
            <w:r w:rsidRPr="002A7580">
              <w:rPr>
                <w:rFonts w:ascii="Book Antiqua" w:eastAsia="Times New Roman" w:hAnsi="Book Antiqua"/>
                <w:b/>
                <w:bCs/>
                <w:color w:val="000000"/>
                <w:lang w:eastAsia="en-IN"/>
              </w:rPr>
              <w:t>Closing Loan</w:t>
            </w:r>
          </w:p>
        </w:tc>
        <w:tc>
          <w:tcPr>
            <w:tcW w:w="1056"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A87140" w:rsidRPr="002A7580" w:rsidRDefault="00A87140" w:rsidP="005C597E">
            <w:pPr>
              <w:spacing w:after="240" w:line="276" w:lineRule="auto"/>
              <w:contextualSpacing/>
              <w:jc w:val="center"/>
              <w:rPr>
                <w:rFonts w:ascii="Book Antiqua" w:eastAsia="Times New Roman" w:hAnsi="Book Antiqua"/>
                <w:b/>
                <w:bCs/>
                <w:color w:val="000000"/>
                <w:lang w:eastAsia="en-IN"/>
              </w:rPr>
            </w:pPr>
            <w:r w:rsidRPr="002A7580">
              <w:rPr>
                <w:rFonts w:ascii="Book Antiqua" w:eastAsia="Times New Roman" w:hAnsi="Book Antiqua"/>
                <w:b/>
                <w:bCs/>
                <w:color w:val="000000"/>
                <w:lang w:eastAsia="en-IN"/>
              </w:rPr>
              <w:t>Interest</w:t>
            </w:r>
          </w:p>
        </w:tc>
        <w:tc>
          <w:tcPr>
            <w:tcW w:w="1416" w:type="dxa"/>
            <w:vMerge w:val="restart"/>
            <w:tcBorders>
              <w:top w:val="single" w:sz="4" w:space="0" w:color="auto"/>
              <w:left w:val="single" w:sz="4" w:space="0" w:color="auto"/>
              <w:bottom w:val="single" w:sz="4" w:space="0" w:color="auto"/>
              <w:right w:val="single" w:sz="4" w:space="0" w:color="auto"/>
            </w:tcBorders>
            <w:shd w:val="clear" w:color="000000" w:fill="FABF8F"/>
            <w:vAlign w:val="center"/>
            <w:hideMark/>
          </w:tcPr>
          <w:p w:rsidR="00A87140" w:rsidRPr="002A7580" w:rsidRDefault="00A87140" w:rsidP="005C597E">
            <w:pPr>
              <w:spacing w:after="240" w:line="276" w:lineRule="auto"/>
              <w:contextualSpacing/>
              <w:jc w:val="center"/>
              <w:rPr>
                <w:rFonts w:ascii="Book Antiqua" w:eastAsia="Times New Roman" w:hAnsi="Book Antiqua"/>
                <w:b/>
                <w:bCs/>
                <w:color w:val="000000"/>
                <w:lang w:eastAsia="en-IN"/>
              </w:rPr>
            </w:pPr>
            <w:r w:rsidRPr="002A7580">
              <w:rPr>
                <w:rFonts w:ascii="Book Antiqua" w:eastAsia="Times New Roman" w:hAnsi="Book Antiqua"/>
                <w:b/>
                <w:bCs/>
                <w:color w:val="000000"/>
                <w:lang w:eastAsia="en-IN"/>
              </w:rPr>
              <w:t>Interest considered</w:t>
            </w:r>
          </w:p>
        </w:tc>
      </w:tr>
      <w:tr w:rsidR="00A87140" w:rsidRPr="002A7580" w:rsidTr="00BB57F2">
        <w:trPr>
          <w:trHeight w:val="280"/>
        </w:trPr>
        <w:tc>
          <w:tcPr>
            <w:tcW w:w="1395"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A87140" w:rsidRPr="002A7580" w:rsidRDefault="00A87140" w:rsidP="005C597E">
            <w:pPr>
              <w:spacing w:after="240" w:line="276" w:lineRule="auto"/>
              <w:contextualSpacing/>
              <w:rPr>
                <w:rFonts w:ascii="Book Antiqua" w:eastAsia="Times New Roman" w:hAnsi="Book Antiqua"/>
                <w:b/>
                <w:bCs/>
                <w:color w:val="000000"/>
                <w:lang w:eastAsia="en-IN"/>
              </w:rPr>
            </w:pPr>
            <w:r w:rsidRPr="002A7580">
              <w:rPr>
                <w:rFonts w:ascii="Book Antiqua" w:eastAsia="Times New Roman" w:hAnsi="Book Antiqua"/>
                <w:b/>
                <w:bCs/>
                <w:color w:val="000000"/>
                <w:lang w:eastAsia="en-IN"/>
              </w:rPr>
              <w:t> </w:t>
            </w: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A87140" w:rsidRPr="002A7580" w:rsidRDefault="00A87140" w:rsidP="005C597E">
            <w:pPr>
              <w:spacing w:after="240" w:line="276" w:lineRule="auto"/>
              <w:contextualSpacing/>
              <w:rPr>
                <w:rFonts w:ascii="Book Antiqua" w:eastAsia="Times New Roman" w:hAnsi="Book Antiqua"/>
                <w:b/>
                <w:bCs/>
                <w:color w:val="000000"/>
                <w:lang w:eastAsia="en-IN"/>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rsidR="00A87140" w:rsidRPr="002A7580" w:rsidRDefault="00A87140" w:rsidP="005C597E">
            <w:pPr>
              <w:spacing w:after="240" w:line="276" w:lineRule="auto"/>
              <w:contextualSpacing/>
              <w:rPr>
                <w:rFonts w:ascii="Book Antiqua" w:eastAsia="Times New Roman" w:hAnsi="Book Antiqua"/>
                <w:b/>
                <w:bCs/>
                <w:color w:val="000000"/>
                <w:lang w:eastAsia="en-IN"/>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A87140" w:rsidRPr="002A7580" w:rsidRDefault="00A87140" w:rsidP="005C597E">
            <w:pPr>
              <w:spacing w:after="240" w:line="276" w:lineRule="auto"/>
              <w:contextualSpacing/>
              <w:rPr>
                <w:rFonts w:ascii="Book Antiqua" w:eastAsia="Times New Roman" w:hAnsi="Book Antiqua"/>
                <w:b/>
                <w:bCs/>
                <w:color w:val="000000"/>
                <w:lang w:eastAsia="en-IN"/>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A87140" w:rsidRPr="002A7580" w:rsidRDefault="00A87140" w:rsidP="005C597E">
            <w:pPr>
              <w:spacing w:after="240" w:line="276" w:lineRule="auto"/>
              <w:contextualSpacing/>
              <w:rPr>
                <w:rFonts w:ascii="Book Antiqua" w:eastAsia="Times New Roman" w:hAnsi="Book Antiqua"/>
                <w:b/>
                <w:bCs/>
                <w:color w:val="000000"/>
                <w:lang w:eastAsia="en-IN"/>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A87140" w:rsidRPr="002A7580" w:rsidRDefault="00A87140" w:rsidP="005C597E">
            <w:pPr>
              <w:spacing w:after="240" w:line="276" w:lineRule="auto"/>
              <w:contextualSpacing/>
              <w:rPr>
                <w:rFonts w:ascii="Book Antiqua" w:eastAsia="Times New Roman" w:hAnsi="Book Antiqua"/>
                <w:b/>
                <w:bCs/>
                <w:color w:val="000000"/>
                <w:lang w:eastAsia="en-IN"/>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A87140" w:rsidRPr="002A7580" w:rsidRDefault="00A87140" w:rsidP="005C597E">
            <w:pPr>
              <w:spacing w:after="240" w:line="276" w:lineRule="auto"/>
              <w:contextualSpacing/>
              <w:rPr>
                <w:rFonts w:ascii="Book Antiqua" w:eastAsia="Times New Roman" w:hAnsi="Book Antiqua"/>
                <w:b/>
                <w:bCs/>
                <w:color w:val="000000"/>
                <w:lang w:eastAsia="en-IN"/>
              </w:rPr>
            </w:pPr>
          </w:p>
        </w:tc>
      </w:tr>
      <w:tr w:rsidR="00A87140" w:rsidRPr="002A7580" w:rsidTr="00BB57F2">
        <w:trPr>
          <w:trHeight w:val="280"/>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140" w:rsidRPr="002A7580" w:rsidRDefault="00A87140" w:rsidP="005C597E">
            <w:pPr>
              <w:spacing w:after="240" w:line="276" w:lineRule="auto"/>
              <w:contextualSpacing/>
              <w:rPr>
                <w:rFonts w:ascii="Book Antiqua" w:eastAsia="Times New Roman" w:hAnsi="Book Antiqua" w:cs="Arial"/>
                <w:sz w:val="20"/>
                <w:szCs w:val="20"/>
                <w:lang w:eastAsia="en-IN"/>
              </w:rPr>
            </w:pPr>
            <w:r w:rsidRPr="002A7580">
              <w:rPr>
                <w:rFonts w:ascii="Book Antiqua" w:eastAsia="Times New Roman" w:hAnsi="Book Antiqua" w:cs="Arial"/>
                <w:sz w:val="20"/>
                <w:szCs w:val="20"/>
                <w:lang w:eastAsia="en-IN"/>
              </w:rPr>
              <w:t>PFC Loan</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A87140" w:rsidRPr="002A7580" w:rsidRDefault="00A87140" w:rsidP="005C597E">
            <w:pPr>
              <w:spacing w:after="240" w:line="276" w:lineRule="auto"/>
              <w:contextualSpacing/>
              <w:jc w:val="right"/>
              <w:rPr>
                <w:rFonts w:ascii="Book Antiqua" w:eastAsia="Times New Roman" w:hAnsi="Book Antiqua" w:cs="Arial"/>
                <w:sz w:val="20"/>
                <w:szCs w:val="20"/>
                <w:lang w:eastAsia="en-IN"/>
              </w:rPr>
            </w:pPr>
            <w:r w:rsidRPr="002A7580">
              <w:rPr>
                <w:rFonts w:ascii="Book Antiqua" w:eastAsia="Times New Roman" w:hAnsi="Book Antiqua" w:cs="Arial"/>
                <w:sz w:val="20"/>
                <w:szCs w:val="20"/>
                <w:lang w:eastAsia="en-IN"/>
              </w:rPr>
              <w:t>30.70</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rsidR="00A87140" w:rsidRPr="002A7580" w:rsidRDefault="00A87140" w:rsidP="005C597E">
            <w:pPr>
              <w:spacing w:after="240" w:line="276" w:lineRule="auto"/>
              <w:contextualSpacing/>
              <w:jc w:val="right"/>
              <w:rPr>
                <w:rFonts w:ascii="Book Antiqua" w:eastAsia="Times New Roman" w:hAnsi="Book Antiqua" w:cs="Arial"/>
                <w:sz w:val="20"/>
                <w:szCs w:val="20"/>
                <w:lang w:eastAsia="en-IN"/>
              </w:rPr>
            </w:pPr>
            <w:r w:rsidRPr="002A7580">
              <w:rPr>
                <w:rFonts w:ascii="Book Antiqua" w:eastAsia="Times New Roman" w:hAnsi="Book Antiqua" w:cs="Arial"/>
                <w:sz w:val="20"/>
                <w:szCs w:val="20"/>
                <w:lang w:eastAsia="en-IN"/>
              </w:rPr>
              <w:t>0.68</w:t>
            </w: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rsidR="00A87140" w:rsidRPr="002A7580" w:rsidRDefault="00A87140" w:rsidP="005C597E">
            <w:pPr>
              <w:spacing w:after="240" w:line="276" w:lineRule="auto"/>
              <w:contextualSpacing/>
              <w:jc w:val="right"/>
              <w:rPr>
                <w:rFonts w:ascii="Book Antiqua" w:eastAsia="Times New Roman" w:hAnsi="Book Antiqua" w:cs="Arial"/>
                <w:sz w:val="20"/>
                <w:szCs w:val="20"/>
                <w:lang w:eastAsia="en-IN"/>
              </w:rPr>
            </w:pPr>
            <w:r w:rsidRPr="002A7580">
              <w:rPr>
                <w:rFonts w:ascii="Book Antiqua" w:eastAsia="Times New Roman" w:hAnsi="Book Antiqua" w:cs="Arial"/>
                <w:sz w:val="20"/>
                <w:szCs w:val="20"/>
                <w:lang w:eastAsia="en-IN"/>
              </w:rPr>
              <w:t>1.04</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A87140" w:rsidRPr="002A7580" w:rsidRDefault="00A87140" w:rsidP="005C597E">
            <w:pPr>
              <w:spacing w:after="240" w:line="276" w:lineRule="auto"/>
              <w:contextualSpacing/>
              <w:jc w:val="right"/>
              <w:rPr>
                <w:rFonts w:ascii="Book Antiqua" w:eastAsia="Times New Roman" w:hAnsi="Book Antiqua" w:cs="Arial"/>
                <w:sz w:val="20"/>
                <w:szCs w:val="20"/>
                <w:lang w:eastAsia="en-IN"/>
              </w:rPr>
            </w:pPr>
            <w:r w:rsidRPr="002A7580">
              <w:rPr>
                <w:rFonts w:ascii="Book Antiqua" w:eastAsia="Times New Roman" w:hAnsi="Book Antiqua" w:cs="Arial"/>
                <w:sz w:val="20"/>
                <w:szCs w:val="20"/>
                <w:lang w:eastAsia="en-IN"/>
              </w:rPr>
              <w:t>30.34</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A87140" w:rsidRPr="002A7580" w:rsidRDefault="00A87140" w:rsidP="005C597E">
            <w:pPr>
              <w:spacing w:after="240" w:line="276" w:lineRule="auto"/>
              <w:contextualSpacing/>
              <w:jc w:val="right"/>
              <w:rPr>
                <w:rFonts w:ascii="Book Antiqua" w:eastAsia="Times New Roman" w:hAnsi="Book Antiqua" w:cs="Arial"/>
                <w:sz w:val="20"/>
                <w:szCs w:val="20"/>
                <w:lang w:eastAsia="en-IN"/>
              </w:rPr>
            </w:pPr>
            <w:r w:rsidRPr="002A7580">
              <w:rPr>
                <w:rFonts w:ascii="Book Antiqua" w:eastAsia="Times New Roman" w:hAnsi="Book Antiqua" w:cs="Arial"/>
                <w:sz w:val="20"/>
                <w:szCs w:val="20"/>
                <w:lang w:eastAsia="en-IN"/>
              </w:rPr>
              <w:t>4.75</w:t>
            </w:r>
          </w:p>
        </w:tc>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A87140" w:rsidRPr="002A7580" w:rsidRDefault="00A87140" w:rsidP="005C597E">
            <w:pPr>
              <w:spacing w:after="240" w:line="276" w:lineRule="auto"/>
              <w:contextualSpacing/>
              <w:jc w:val="right"/>
              <w:rPr>
                <w:rFonts w:ascii="Book Antiqua" w:eastAsia="Times New Roman" w:hAnsi="Book Antiqua" w:cs="Arial"/>
                <w:sz w:val="20"/>
                <w:szCs w:val="20"/>
                <w:lang w:eastAsia="en-IN"/>
              </w:rPr>
            </w:pPr>
            <w:r w:rsidRPr="002A7580">
              <w:rPr>
                <w:rFonts w:ascii="Book Antiqua" w:eastAsia="Times New Roman" w:hAnsi="Book Antiqua" w:cs="Arial"/>
                <w:sz w:val="20"/>
                <w:szCs w:val="20"/>
                <w:lang w:eastAsia="en-IN"/>
              </w:rPr>
              <w:t>2.75</w:t>
            </w:r>
          </w:p>
        </w:tc>
      </w:tr>
      <w:tr w:rsidR="00A87140" w:rsidRPr="002A7580" w:rsidTr="00BB57F2">
        <w:trPr>
          <w:trHeight w:val="280"/>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140" w:rsidRPr="002A7580" w:rsidRDefault="00A87140" w:rsidP="005C597E">
            <w:pPr>
              <w:spacing w:after="240" w:line="276" w:lineRule="auto"/>
              <w:contextualSpacing/>
              <w:rPr>
                <w:rFonts w:ascii="Book Antiqua" w:eastAsia="Times New Roman" w:hAnsi="Book Antiqua" w:cs="Arial"/>
                <w:sz w:val="20"/>
                <w:szCs w:val="20"/>
                <w:lang w:eastAsia="en-IN"/>
              </w:rPr>
            </w:pPr>
            <w:r w:rsidRPr="002A7580">
              <w:rPr>
                <w:rFonts w:ascii="Book Antiqua" w:eastAsia="Times New Roman" w:hAnsi="Book Antiqua" w:cs="Arial"/>
                <w:sz w:val="20"/>
                <w:szCs w:val="20"/>
                <w:lang w:eastAsia="en-IN"/>
              </w:rPr>
              <w:t>ADB</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A87140" w:rsidRPr="002A7580" w:rsidRDefault="00A87140" w:rsidP="005C597E">
            <w:pPr>
              <w:spacing w:after="240" w:line="276" w:lineRule="auto"/>
              <w:contextualSpacing/>
              <w:jc w:val="right"/>
              <w:rPr>
                <w:rFonts w:ascii="Book Antiqua" w:eastAsia="Times New Roman" w:hAnsi="Book Antiqua" w:cs="Arial"/>
                <w:sz w:val="20"/>
                <w:szCs w:val="20"/>
                <w:lang w:eastAsia="en-IN"/>
              </w:rPr>
            </w:pPr>
            <w:r w:rsidRPr="002A7580">
              <w:rPr>
                <w:rFonts w:ascii="Book Antiqua" w:eastAsia="Times New Roman" w:hAnsi="Book Antiqua" w:cs="Arial"/>
                <w:sz w:val="20"/>
                <w:szCs w:val="20"/>
                <w:lang w:eastAsia="en-IN"/>
              </w:rPr>
              <w:t>26.40</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rsidR="00A87140" w:rsidRPr="002A7580" w:rsidRDefault="00A87140" w:rsidP="005C597E">
            <w:pPr>
              <w:spacing w:after="240" w:line="276" w:lineRule="auto"/>
              <w:contextualSpacing/>
              <w:jc w:val="right"/>
              <w:rPr>
                <w:rFonts w:ascii="Book Antiqua" w:eastAsia="Times New Roman" w:hAnsi="Book Antiqua" w:cs="Arial"/>
                <w:sz w:val="20"/>
                <w:szCs w:val="20"/>
                <w:lang w:eastAsia="en-IN"/>
              </w:rPr>
            </w:pPr>
            <w:r w:rsidRPr="002A7580">
              <w:rPr>
                <w:rFonts w:ascii="Book Antiqua" w:eastAsia="Times New Roman" w:hAnsi="Book Antiqua" w:cs="Arial"/>
                <w:sz w:val="20"/>
                <w:szCs w:val="20"/>
                <w:lang w:eastAsia="en-IN"/>
              </w:rPr>
              <w:t>0.00</w:t>
            </w: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rsidR="00A87140" w:rsidRPr="002A7580" w:rsidRDefault="00A87140" w:rsidP="005C597E">
            <w:pPr>
              <w:spacing w:after="240" w:line="276" w:lineRule="auto"/>
              <w:contextualSpacing/>
              <w:jc w:val="right"/>
              <w:rPr>
                <w:rFonts w:ascii="Book Antiqua" w:eastAsia="Times New Roman" w:hAnsi="Book Antiqua" w:cs="Arial"/>
                <w:sz w:val="20"/>
                <w:szCs w:val="20"/>
                <w:lang w:eastAsia="en-IN"/>
              </w:rPr>
            </w:pPr>
            <w:r w:rsidRPr="002A7580">
              <w:rPr>
                <w:rFonts w:ascii="Book Antiqua" w:eastAsia="Times New Roman" w:hAnsi="Book Antiqua" w:cs="Arial"/>
                <w:sz w:val="20"/>
                <w:szCs w:val="20"/>
                <w:lang w:eastAsia="en-IN"/>
              </w:rPr>
              <w:t>3.80</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A87140" w:rsidRPr="002A7580" w:rsidRDefault="00A87140" w:rsidP="005C597E">
            <w:pPr>
              <w:spacing w:after="240" w:line="276" w:lineRule="auto"/>
              <w:contextualSpacing/>
              <w:jc w:val="right"/>
              <w:rPr>
                <w:rFonts w:ascii="Book Antiqua" w:eastAsia="Times New Roman" w:hAnsi="Book Antiqua" w:cs="Arial"/>
                <w:sz w:val="20"/>
                <w:szCs w:val="20"/>
                <w:lang w:eastAsia="en-IN"/>
              </w:rPr>
            </w:pPr>
            <w:r w:rsidRPr="002A7580">
              <w:rPr>
                <w:rFonts w:ascii="Book Antiqua" w:eastAsia="Times New Roman" w:hAnsi="Book Antiqua" w:cs="Arial"/>
                <w:sz w:val="20"/>
                <w:szCs w:val="20"/>
                <w:lang w:eastAsia="en-IN"/>
              </w:rPr>
              <w:t>22.60</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A87140" w:rsidRPr="002A7580" w:rsidRDefault="00A87140" w:rsidP="005C597E">
            <w:pPr>
              <w:spacing w:after="240" w:line="276" w:lineRule="auto"/>
              <w:contextualSpacing/>
              <w:jc w:val="right"/>
              <w:rPr>
                <w:rFonts w:ascii="Book Antiqua" w:eastAsia="Times New Roman" w:hAnsi="Book Antiqua" w:cs="Arial"/>
                <w:sz w:val="20"/>
                <w:szCs w:val="20"/>
                <w:lang w:eastAsia="en-IN"/>
              </w:rPr>
            </w:pPr>
            <w:r w:rsidRPr="002A7580">
              <w:rPr>
                <w:rFonts w:ascii="Book Antiqua" w:eastAsia="Times New Roman" w:hAnsi="Book Antiqua" w:cs="Arial"/>
                <w:sz w:val="20"/>
                <w:szCs w:val="20"/>
                <w:lang w:eastAsia="en-IN"/>
              </w:rPr>
              <w:t>2.45</w:t>
            </w:r>
          </w:p>
        </w:tc>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A87140" w:rsidRPr="002A7580" w:rsidRDefault="00A87140" w:rsidP="005C597E">
            <w:pPr>
              <w:spacing w:after="240" w:line="276" w:lineRule="auto"/>
              <w:contextualSpacing/>
              <w:jc w:val="right"/>
              <w:rPr>
                <w:rFonts w:ascii="Book Antiqua" w:eastAsia="Times New Roman" w:hAnsi="Book Antiqua" w:cs="Arial"/>
                <w:sz w:val="20"/>
                <w:szCs w:val="20"/>
                <w:lang w:eastAsia="en-IN"/>
              </w:rPr>
            </w:pPr>
            <w:r w:rsidRPr="002A7580">
              <w:rPr>
                <w:rFonts w:ascii="Book Antiqua" w:eastAsia="Times New Roman" w:hAnsi="Book Antiqua" w:cs="Arial"/>
                <w:sz w:val="20"/>
                <w:szCs w:val="20"/>
                <w:lang w:eastAsia="en-IN"/>
              </w:rPr>
              <w:t>2.45</w:t>
            </w:r>
          </w:p>
        </w:tc>
      </w:tr>
      <w:tr w:rsidR="00A87140" w:rsidRPr="002A7580" w:rsidTr="00BB57F2">
        <w:trPr>
          <w:trHeight w:val="280"/>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140" w:rsidRPr="002A7580" w:rsidRDefault="00A87140" w:rsidP="005C597E">
            <w:pPr>
              <w:spacing w:after="240" w:line="276" w:lineRule="auto"/>
              <w:contextualSpacing/>
              <w:rPr>
                <w:rFonts w:ascii="Book Antiqua" w:eastAsia="Times New Roman" w:hAnsi="Book Antiqua" w:cs="Arial"/>
                <w:sz w:val="20"/>
                <w:szCs w:val="20"/>
                <w:lang w:eastAsia="en-IN"/>
              </w:rPr>
            </w:pPr>
            <w:r w:rsidRPr="002A7580">
              <w:rPr>
                <w:rFonts w:ascii="Book Antiqua" w:eastAsia="Times New Roman" w:hAnsi="Book Antiqua" w:cs="Arial"/>
                <w:sz w:val="20"/>
                <w:szCs w:val="20"/>
                <w:lang w:eastAsia="en-IN"/>
              </w:rPr>
              <w:t>APDRP</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A87140" w:rsidRPr="002A7580" w:rsidRDefault="00A87140" w:rsidP="005C597E">
            <w:pPr>
              <w:spacing w:after="240" w:line="276" w:lineRule="auto"/>
              <w:contextualSpacing/>
              <w:jc w:val="right"/>
              <w:rPr>
                <w:rFonts w:ascii="Book Antiqua" w:eastAsia="Times New Roman" w:hAnsi="Book Antiqua" w:cs="Arial"/>
                <w:sz w:val="20"/>
                <w:szCs w:val="20"/>
                <w:lang w:eastAsia="en-IN"/>
              </w:rPr>
            </w:pPr>
            <w:r w:rsidRPr="002A7580">
              <w:rPr>
                <w:rFonts w:ascii="Book Antiqua" w:eastAsia="Times New Roman" w:hAnsi="Book Antiqua" w:cs="Arial"/>
                <w:sz w:val="20"/>
                <w:szCs w:val="20"/>
                <w:lang w:eastAsia="en-IN"/>
              </w:rPr>
              <w:t>10.88</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rsidR="00A87140" w:rsidRPr="002A7580" w:rsidRDefault="00A87140" w:rsidP="005C597E">
            <w:pPr>
              <w:spacing w:after="240" w:line="276" w:lineRule="auto"/>
              <w:contextualSpacing/>
              <w:jc w:val="right"/>
              <w:rPr>
                <w:rFonts w:ascii="Book Antiqua" w:eastAsia="Times New Roman" w:hAnsi="Book Antiqua" w:cs="Arial"/>
                <w:sz w:val="20"/>
                <w:szCs w:val="20"/>
                <w:lang w:eastAsia="en-IN"/>
              </w:rPr>
            </w:pPr>
            <w:r w:rsidRPr="002A7580">
              <w:rPr>
                <w:rFonts w:ascii="Book Antiqua" w:eastAsia="Times New Roman" w:hAnsi="Book Antiqua" w:cs="Arial"/>
                <w:sz w:val="20"/>
                <w:szCs w:val="20"/>
                <w:lang w:eastAsia="en-IN"/>
              </w:rPr>
              <w:t>0.00</w:t>
            </w: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rsidR="00A87140" w:rsidRPr="002A7580" w:rsidRDefault="00A87140" w:rsidP="005C597E">
            <w:pPr>
              <w:spacing w:after="240" w:line="276" w:lineRule="auto"/>
              <w:contextualSpacing/>
              <w:jc w:val="right"/>
              <w:rPr>
                <w:rFonts w:ascii="Book Antiqua" w:eastAsia="Times New Roman" w:hAnsi="Book Antiqua" w:cs="Arial"/>
                <w:sz w:val="20"/>
                <w:szCs w:val="20"/>
                <w:lang w:eastAsia="en-IN"/>
              </w:rPr>
            </w:pPr>
            <w:r w:rsidRPr="002A7580">
              <w:rPr>
                <w:rFonts w:ascii="Book Antiqua" w:eastAsia="Times New Roman" w:hAnsi="Book Antiqua" w:cs="Arial"/>
                <w:sz w:val="20"/>
                <w:szCs w:val="20"/>
                <w:lang w:eastAsia="en-IN"/>
              </w:rPr>
              <w:t>2.21</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A87140" w:rsidRPr="002A7580" w:rsidRDefault="00A87140" w:rsidP="005C597E">
            <w:pPr>
              <w:spacing w:after="240" w:line="276" w:lineRule="auto"/>
              <w:contextualSpacing/>
              <w:jc w:val="right"/>
              <w:rPr>
                <w:rFonts w:ascii="Book Antiqua" w:eastAsia="Times New Roman" w:hAnsi="Book Antiqua" w:cs="Arial"/>
                <w:sz w:val="20"/>
                <w:szCs w:val="20"/>
                <w:lang w:eastAsia="en-IN"/>
              </w:rPr>
            </w:pPr>
            <w:r w:rsidRPr="002A7580">
              <w:rPr>
                <w:rFonts w:ascii="Book Antiqua" w:eastAsia="Times New Roman" w:hAnsi="Book Antiqua" w:cs="Arial"/>
                <w:sz w:val="20"/>
                <w:szCs w:val="20"/>
                <w:lang w:eastAsia="en-IN"/>
              </w:rPr>
              <w:t>8.67</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A87140" w:rsidRPr="002A7580" w:rsidRDefault="00A87140" w:rsidP="005C597E">
            <w:pPr>
              <w:spacing w:after="240" w:line="276" w:lineRule="auto"/>
              <w:contextualSpacing/>
              <w:jc w:val="right"/>
              <w:rPr>
                <w:rFonts w:ascii="Book Antiqua" w:eastAsia="Times New Roman" w:hAnsi="Book Antiqua" w:cs="Arial"/>
                <w:sz w:val="20"/>
                <w:szCs w:val="20"/>
                <w:lang w:eastAsia="en-IN"/>
              </w:rPr>
            </w:pPr>
            <w:r w:rsidRPr="002A7580">
              <w:rPr>
                <w:rFonts w:ascii="Book Antiqua" w:eastAsia="Times New Roman" w:hAnsi="Book Antiqua" w:cs="Arial"/>
                <w:sz w:val="20"/>
                <w:szCs w:val="20"/>
                <w:lang w:eastAsia="en-IN"/>
              </w:rPr>
              <w:t>1.08</w:t>
            </w:r>
          </w:p>
        </w:tc>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A87140" w:rsidRPr="002A7580" w:rsidRDefault="00A87140" w:rsidP="005C597E">
            <w:pPr>
              <w:spacing w:after="240" w:line="276" w:lineRule="auto"/>
              <w:contextualSpacing/>
              <w:jc w:val="right"/>
              <w:rPr>
                <w:rFonts w:ascii="Book Antiqua" w:eastAsia="Times New Roman" w:hAnsi="Book Antiqua" w:cs="Arial"/>
                <w:sz w:val="20"/>
                <w:szCs w:val="20"/>
                <w:lang w:eastAsia="en-IN"/>
              </w:rPr>
            </w:pPr>
            <w:r w:rsidRPr="002A7580">
              <w:rPr>
                <w:rFonts w:ascii="Book Antiqua" w:eastAsia="Times New Roman" w:hAnsi="Book Antiqua" w:cs="Arial"/>
                <w:sz w:val="20"/>
                <w:szCs w:val="20"/>
                <w:lang w:eastAsia="en-IN"/>
              </w:rPr>
              <w:t>1.08</w:t>
            </w:r>
          </w:p>
        </w:tc>
      </w:tr>
      <w:tr w:rsidR="00A87140" w:rsidRPr="002A7580" w:rsidTr="00BB57F2">
        <w:trPr>
          <w:trHeight w:val="280"/>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140" w:rsidRPr="002A7580" w:rsidRDefault="00A87140" w:rsidP="005C597E">
            <w:pPr>
              <w:spacing w:after="240" w:line="276" w:lineRule="auto"/>
              <w:contextualSpacing/>
              <w:rPr>
                <w:rFonts w:ascii="Book Antiqua" w:eastAsia="Times New Roman" w:hAnsi="Book Antiqua" w:cs="Arial"/>
                <w:sz w:val="20"/>
                <w:szCs w:val="20"/>
                <w:lang w:eastAsia="en-IN"/>
              </w:rPr>
            </w:pPr>
            <w:r w:rsidRPr="002A7580">
              <w:rPr>
                <w:rFonts w:ascii="Book Antiqua" w:eastAsia="Times New Roman" w:hAnsi="Book Antiqua" w:cs="Arial"/>
                <w:sz w:val="20"/>
                <w:szCs w:val="20"/>
                <w:lang w:eastAsia="en-IN"/>
              </w:rPr>
              <w:t> </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A87140" w:rsidRPr="002A7580" w:rsidRDefault="00A87140" w:rsidP="005C597E">
            <w:pPr>
              <w:spacing w:after="240" w:line="276" w:lineRule="auto"/>
              <w:contextualSpacing/>
              <w:rPr>
                <w:rFonts w:ascii="Book Antiqua" w:eastAsia="Times New Roman" w:hAnsi="Book Antiqua" w:cs="Arial"/>
                <w:sz w:val="20"/>
                <w:szCs w:val="20"/>
                <w:lang w:eastAsia="en-IN"/>
              </w:rPr>
            </w:pPr>
            <w:r w:rsidRPr="002A7580">
              <w:rPr>
                <w:rFonts w:ascii="Book Antiqua" w:eastAsia="Times New Roman" w:hAnsi="Book Antiqua" w:cs="Arial"/>
                <w:sz w:val="20"/>
                <w:szCs w:val="20"/>
                <w:lang w:eastAsia="en-IN"/>
              </w:rPr>
              <w:t> </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rsidR="00A87140" w:rsidRPr="002A7580" w:rsidRDefault="00A87140" w:rsidP="005C597E">
            <w:pPr>
              <w:spacing w:after="240" w:line="276" w:lineRule="auto"/>
              <w:contextualSpacing/>
              <w:rPr>
                <w:rFonts w:ascii="Book Antiqua" w:eastAsia="Times New Roman" w:hAnsi="Book Antiqua" w:cs="Arial"/>
                <w:sz w:val="20"/>
                <w:szCs w:val="20"/>
                <w:lang w:eastAsia="en-IN"/>
              </w:rPr>
            </w:pPr>
            <w:r w:rsidRPr="002A7580">
              <w:rPr>
                <w:rFonts w:ascii="Book Antiqua" w:eastAsia="Times New Roman" w:hAnsi="Book Antiqua" w:cs="Arial"/>
                <w:sz w:val="20"/>
                <w:szCs w:val="20"/>
                <w:lang w:eastAsia="en-IN"/>
              </w:rPr>
              <w:t> </w:t>
            </w: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rsidR="00A87140" w:rsidRPr="002A7580" w:rsidRDefault="00A87140" w:rsidP="005C597E">
            <w:pPr>
              <w:spacing w:after="240" w:line="276" w:lineRule="auto"/>
              <w:contextualSpacing/>
              <w:rPr>
                <w:rFonts w:ascii="Book Antiqua" w:eastAsia="Times New Roman" w:hAnsi="Book Antiqua" w:cs="Arial"/>
                <w:sz w:val="20"/>
                <w:szCs w:val="20"/>
                <w:lang w:eastAsia="en-IN"/>
              </w:rPr>
            </w:pPr>
            <w:r w:rsidRPr="002A7580">
              <w:rPr>
                <w:rFonts w:ascii="Book Antiqua" w:eastAsia="Times New Roman" w:hAnsi="Book Antiqua" w:cs="Arial"/>
                <w:sz w:val="20"/>
                <w:szCs w:val="20"/>
                <w:lang w:eastAsia="en-IN"/>
              </w:rPr>
              <w:t> </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A87140" w:rsidRPr="002A7580" w:rsidRDefault="00A87140" w:rsidP="005C597E">
            <w:pPr>
              <w:spacing w:after="240" w:line="276" w:lineRule="auto"/>
              <w:contextualSpacing/>
              <w:rPr>
                <w:rFonts w:ascii="Book Antiqua" w:eastAsia="Times New Roman" w:hAnsi="Book Antiqua" w:cs="Arial"/>
                <w:sz w:val="20"/>
                <w:szCs w:val="20"/>
                <w:lang w:eastAsia="en-IN"/>
              </w:rPr>
            </w:pPr>
            <w:r w:rsidRPr="002A7580">
              <w:rPr>
                <w:rFonts w:ascii="Book Antiqua" w:eastAsia="Times New Roman" w:hAnsi="Book Antiqua" w:cs="Arial"/>
                <w:sz w:val="20"/>
                <w:szCs w:val="20"/>
                <w:lang w:eastAsia="en-IN"/>
              </w:rPr>
              <w:t> </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A87140" w:rsidRPr="002A7580" w:rsidRDefault="00A87140" w:rsidP="005C597E">
            <w:pPr>
              <w:spacing w:after="240" w:line="276" w:lineRule="auto"/>
              <w:contextualSpacing/>
              <w:rPr>
                <w:rFonts w:ascii="Book Antiqua" w:eastAsia="Times New Roman" w:hAnsi="Book Antiqua" w:cs="Arial"/>
                <w:sz w:val="20"/>
                <w:szCs w:val="20"/>
                <w:lang w:eastAsia="en-IN"/>
              </w:rPr>
            </w:pPr>
            <w:r w:rsidRPr="002A7580">
              <w:rPr>
                <w:rFonts w:ascii="Book Antiqua" w:eastAsia="Times New Roman" w:hAnsi="Book Antiqua" w:cs="Arial"/>
                <w:sz w:val="20"/>
                <w:szCs w:val="20"/>
                <w:lang w:eastAsia="en-IN"/>
              </w:rPr>
              <w:t> </w:t>
            </w:r>
          </w:p>
        </w:tc>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A87140" w:rsidRPr="002A7580" w:rsidRDefault="00A87140" w:rsidP="005C597E">
            <w:pPr>
              <w:spacing w:after="240" w:line="276" w:lineRule="auto"/>
              <w:contextualSpacing/>
              <w:rPr>
                <w:rFonts w:ascii="Book Antiqua" w:eastAsia="Times New Roman" w:hAnsi="Book Antiqua" w:cs="Arial"/>
                <w:sz w:val="20"/>
                <w:szCs w:val="20"/>
                <w:lang w:eastAsia="en-IN"/>
              </w:rPr>
            </w:pPr>
            <w:r w:rsidRPr="002A7580">
              <w:rPr>
                <w:rFonts w:ascii="Book Antiqua" w:eastAsia="Times New Roman" w:hAnsi="Book Antiqua" w:cs="Arial"/>
                <w:sz w:val="20"/>
                <w:szCs w:val="20"/>
                <w:lang w:eastAsia="en-IN"/>
              </w:rPr>
              <w:t> </w:t>
            </w:r>
          </w:p>
        </w:tc>
      </w:tr>
      <w:tr w:rsidR="00A87140" w:rsidRPr="002A7580" w:rsidTr="00BB57F2">
        <w:trPr>
          <w:trHeight w:val="280"/>
        </w:trPr>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140" w:rsidRPr="002A7580" w:rsidRDefault="00A87140" w:rsidP="005C597E">
            <w:pPr>
              <w:spacing w:after="240" w:line="276" w:lineRule="auto"/>
              <w:contextualSpacing/>
              <w:rPr>
                <w:rFonts w:ascii="Book Antiqua" w:eastAsia="Times New Roman" w:hAnsi="Book Antiqua" w:cs="Arial"/>
                <w:b/>
                <w:bCs/>
                <w:sz w:val="20"/>
                <w:szCs w:val="20"/>
                <w:lang w:eastAsia="en-IN"/>
              </w:rPr>
            </w:pPr>
            <w:r w:rsidRPr="002A7580">
              <w:rPr>
                <w:rFonts w:ascii="Book Antiqua" w:eastAsia="Times New Roman" w:hAnsi="Book Antiqua" w:cs="Arial"/>
                <w:b/>
                <w:bCs/>
                <w:sz w:val="20"/>
                <w:szCs w:val="20"/>
                <w:lang w:eastAsia="en-IN"/>
              </w:rPr>
              <w:t>Total</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A87140" w:rsidRPr="002A7580" w:rsidRDefault="00A87140" w:rsidP="005C597E">
            <w:pPr>
              <w:spacing w:after="240" w:line="276" w:lineRule="auto"/>
              <w:contextualSpacing/>
              <w:jc w:val="right"/>
              <w:rPr>
                <w:rFonts w:ascii="Book Antiqua" w:eastAsia="Times New Roman" w:hAnsi="Book Antiqua" w:cs="Arial"/>
                <w:b/>
                <w:bCs/>
                <w:sz w:val="20"/>
                <w:szCs w:val="20"/>
                <w:lang w:eastAsia="en-IN"/>
              </w:rPr>
            </w:pPr>
            <w:r w:rsidRPr="002A7580">
              <w:rPr>
                <w:rFonts w:ascii="Book Antiqua" w:eastAsia="Times New Roman" w:hAnsi="Book Antiqua" w:cs="Arial"/>
                <w:b/>
                <w:bCs/>
                <w:sz w:val="20"/>
                <w:szCs w:val="20"/>
                <w:lang w:eastAsia="en-IN"/>
              </w:rPr>
              <w:t>67.98</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rsidR="00A87140" w:rsidRPr="002A7580" w:rsidRDefault="00A87140" w:rsidP="005C597E">
            <w:pPr>
              <w:spacing w:after="240" w:line="276" w:lineRule="auto"/>
              <w:contextualSpacing/>
              <w:jc w:val="right"/>
              <w:rPr>
                <w:rFonts w:ascii="Book Antiqua" w:eastAsia="Times New Roman" w:hAnsi="Book Antiqua" w:cs="Arial"/>
                <w:b/>
                <w:bCs/>
                <w:sz w:val="20"/>
                <w:szCs w:val="20"/>
                <w:lang w:eastAsia="en-IN"/>
              </w:rPr>
            </w:pPr>
            <w:r w:rsidRPr="002A7580">
              <w:rPr>
                <w:rFonts w:ascii="Book Antiqua" w:eastAsia="Times New Roman" w:hAnsi="Book Antiqua" w:cs="Arial"/>
                <w:b/>
                <w:bCs/>
                <w:sz w:val="20"/>
                <w:szCs w:val="20"/>
                <w:lang w:eastAsia="en-IN"/>
              </w:rPr>
              <w:t>0.68</w:t>
            </w: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rsidR="00A87140" w:rsidRPr="002A7580" w:rsidRDefault="00A87140" w:rsidP="005C597E">
            <w:pPr>
              <w:spacing w:after="240" w:line="276" w:lineRule="auto"/>
              <w:contextualSpacing/>
              <w:jc w:val="right"/>
              <w:rPr>
                <w:rFonts w:ascii="Book Antiqua" w:eastAsia="Times New Roman" w:hAnsi="Book Antiqua" w:cs="Arial"/>
                <w:b/>
                <w:bCs/>
                <w:sz w:val="20"/>
                <w:szCs w:val="20"/>
                <w:lang w:eastAsia="en-IN"/>
              </w:rPr>
            </w:pPr>
            <w:r w:rsidRPr="002A7580">
              <w:rPr>
                <w:rFonts w:ascii="Book Antiqua" w:eastAsia="Times New Roman" w:hAnsi="Book Antiqua" w:cs="Arial"/>
                <w:b/>
                <w:bCs/>
                <w:sz w:val="20"/>
                <w:szCs w:val="20"/>
                <w:lang w:eastAsia="en-IN"/>
              </w:rPr>
              <w:t>7.05</w:t>
            </w:r>
          </w:p>
        </w:tc>
        <w:tc>
          <w:tcPr>
            <w:tcW w:w="1173" w:type="dxa"/>
            <w:tcBorders>
              <w:top w:val="single" w:sz="4" w:space="0" w:color="auto"/>
              <w:left w:val="nil"/>
              <w:bottom w:val="single" w:sz="4" w:space="0" w:color="auto"/>
              <w:right w:val="single" w:sz="4" w:space="0" w:color="auto"/>
            </w:tcBorders>
            <w:shd w:val="clear" w:color="auto" w:fill="auto"/>
            <w:noWrap/>
            <w:vAlign w:val="bottom"/>
            <w:hideMark/>
          </w:tcPr>
          <w:p w:rsidR="00A87140" w:rsidRPr="002A7580" w:rsidRDefault="00A87140" w:rsidP="005C597E">
            <w:pPr>
              <w:spacing w:after="240" w:line="276" w:lineRule="auto"/>
              <w:contextualSpacing/>
              <w:jc w:val="right"/>
              <w:rPr>
                <w:rFonts w:ascii="Book Antiqua" w:eastAsia="Times New Roman" w:hAnsi="Book Antiqua" w:cs="Arial"/>
                <w:b/>
                <w:bCs/>
                <w:sz w:val="20"/>
                <w:szCs w:val="20"/>
                <w:lang w:eastAsia="en-IN"/>
              </w:rPr>
            </w:pPr>
            <w:r w:rsidRPr="002A7580">
              <w:rPr>
                <w:rFonts w:ascii="Book Antiqua" w:eastAsia="Times New Roman" w:hAnsi="Book Antiqua" w:cs="Arial"/>
                <w:b/>
                <w:bCs/>
                <w:sz w:val="20"/>
                <w:szCs w:val="20"/>
                <w:lang w:eastAsia="en-IN"/>
              </w:rPr>
              <w:t>61.61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A87140" w:rsidRPr="002A7580" w:rsidRDefault="00A87140" w:rsidP="005C597E">
            <w:pPr>
              <w:spacing w:after="240" w:line="276" w:lineRule="auto"/>
              <w:contextualSpacing/>
              <w:jc w:val="right"/>
              <w:rPr>
                <w:rFonts w:ascii="Book Antiqua" w:eastAsia="Times New Roman" w:hAnsi="Book Antiqua" w:cs="Arial"/>
                <w:b/>
                <w:bCs/>
                <w:sz w:val="20"/>
                <w:szCs w:val="20"/>
                <w:lang w:eastAsia="en-IN"/>
              </w:rPr>
            </w:pPr>
            <w:r w:rsidRPr="002A7580">
              <w:rPr>
                <w:rFonts w:ascii="Book Antiqua" w:eastAsia="Times New Roman" w:hAnsi="Book Antiqua" w:cs="Arial"/>
                <w:b/>
                <w:bCs/>
                <w:sz w:val="20"/>
                <w:szCs w:val="20"/>
                <w:lang w:eastAsia="en-IN"/>
              </w:rPr>
              <w:t>8.29</w:t>
            </w:r>
          </w:p>
        </w:tc>
        <w:tc>
          <w:tcPr>
            <w:tcW w:w="1416" w:type="dxa"/>
            <w:tcBorders>
              <w:top w:val="nil"/>
              <w:left w:val="single" w:sz="4" w:space="0" w:color="auto"/>
              <w:bottom w:val="single" w:sz="4" w:space="0" w:color="auto"/>
              <w:right w:val="single" w:sz="4" w:space="0" w:color="auto"/>
            </w:tcBorders>
            <w:shd w:val="clear" w:color="auto" w:fill="auto"/>
            <w:noWrap/>
            <w:vAlign w:val="bottom"/>
            <w:hideMark/>
          </w:tcPr>
          <w:p w:rsidR="00A87140" w:rsidRPr="002A7580" w:rsidRDefault="00A87140" w:rsidP="005C597E">
            <w:pPr>
              <w:spacing w:after="240" w:line="276" w:lineRule="auto"/>
              <w:contextualSpacing/>
              <w:jc w:val="right"/>
              <w:rPr>
                <w:rFonts w:ascii="Book Antiqua" w:eastAsia="Times New Roman" w:hAnsi="Book Antiqua"/>
                <w:b/>
                <w:bCs/>
                <w:color w:val="000000"/>
                <w:lang w:eastAsia="en-IN"/>
              </w:rPr>
            </w:pPr>
            <w:r w:rsidRPr="002A7580">
              <w:rPr>
                <w:rFonts w:ascii="Book Antiqua" w:eastAsia="Times New Roman" w:hAnsi="Book Antiqua"/>
                <w:b/>
                <w:bCs/>
                <w:color w:val="000000"/>
                <w:sz w:val="22"/>
                <w:szCs w:val="22"/>
                <w:lang w:eastAsia="en-IN"/>
              </w:rPr>
              <w:t>6.28</w:t>
            </w:r>
          </w:p>
        </w:tc>
      </w:tr>
      <w:tr w:rsidR="00BB57F2" w:rsidRPr="002A7580" w:rsidTr="00BB57F2">
        <w:trPr>
          <w:trHeight w:val="280"/>
        </w:trPr>
        <w:tc>
          <w:tcPr>
            <w:tcW w:w="7713"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BB57F2" w:rsidRPr="002A7580" w:rsidRDefault="00BB57F2" w:rsidP="005C597E">
            <w:pPr>
              <w:spacing w:after="240" w:line="276" w:lineRule="auto"/>
              <w:contextualSpacing/>
              <w:jc w:val="right"/>
              <w:rPr>
                <w:rFonts w:ascii="Book Antiqua" w:eastAsia="Times New Roman" w:hAnsi="Book Antiqua" w:cs="Arial"/>
                <w:b/>
                <w:bCs/>
                <w:sz w:val="20"/>
                <w:szCs w:val="20"/>
                <w:lang w:eastAsia="en-IN"/>
              </w:rPr>
            </w:pPr>
            <w:r>
              <w:rPr>
                <w:rFonts w:ascii="Book Antiqua" w:eastAsia="Times New Roman" w:hAnsi="Book Antiqua" w:cs="Arial"/>
                <w:b/>
                <w:bCs/>
                <w:sz w:val="20"/>
                <w:szCs w:val="20"/>
                <w:lang w:eastAsia="en-IN"/>
              </w:rPr>
              <w:t>W</w:t>
            </w:r>
            <w:r w:rsidRPr="00BB57F2">
              <w:rPr>
                <w:rFonts w:ascii="Book Antiqua" w:eastAsia="Times New Roman" w:hAnsi="Book Antiqua" w:cs="Arial"/>
                <w:b/>
                <w:bCs/>
                <w:sz w:val="20"/>
                <w:szCs w:val="20"/>
                <w:lang w:eastAsia="en-IN"/>
              </w:rPr>
              <w:t xml:space="preserve">eighted </w:t>
            </w:r>
            <w:r>
              <w:rPr>
                <w:rFonts w:ascii="Book Antiqua" w:eastAsia="Times New Roman" w:hAnsi="Book Antiqua" w:cs="Arial"/>
                <w:b/>
                <w:bCs/>
                <w:sz w:val="20"/>
                <w:szCs w:val="20"/>
                <w:lang w:eastAsia="en-IN"/>
              </w:rPr>
              <w:t>A</w:t>
            </w:r>
            <w:r w:rsidRPr="00BB57F2">
              <w:rPr>
                <w:rFonts w:ascii="Book Antiqua" w:eastAsia="Times New Roman" w:hAnsi="Book Antiqua" w:cs="Arial"/>
                <w:b/>
                <w:bCs/>
                <w:sz w:val="20"/>
                <w:szCs w:val="20"/>
                <w:lang w:eastAsia="en-IN"/>
              </w:rPr>
              <w:t xml:space="preserve">verage </w:t>
            </w:r>
            <w:r>
              <w:rPr>
                <w:rFonts w:ascii="Book Antiqua" w:eastAsia="Times New Roman" w:hAnsi="Book Antiqua" w:cs="Arial"/>
                <w:b/>
                <w:bCs/>
                <w:sz w:val="20"/>
                <w:szCs w:val="20"/>
                <w:lang w:eastAsia="en-IN"/>
              </w:rPr>
              <w:t>I</w:t>
            </w:r>
            <w:r w:rsidRPr="00BB57F2">
              <w:rPr>
                <w:rFonts w:ascii="Book Antiqua" w:eastAsia="Times New Roman" w:hAnsi="Book Antiqua" w:cs="Arial"/>
                <w:b/>
                <w:bCs/>
                <w:sz w:val="20"/>
                <w:szCs w:val="20"/>
                <w:lang w:eastAsia="en-IN"/>
              </w:rPr>
              <w:t xml:space="preserve">nterest </w:t>
            </w:r>
            <w:r>
              <w:rPr>
                <w:rFonts w:ascii="Book Antiqua" w:eastAsia="Times New Roman" w:hAnsi="Book Antiqua" w:cs="Arial"/>
                <w:b/>
                <w:bCs/>
                <w:sz w:val="20"/>
                <w:szCs w:val="20"/>
                <w:lang w:eastAsia="en-IN"/>
              </w:rPr>
              <w:t>R</w:t>
            </w:r>
            <w:r w:rsidRPr="00BB57F2">
              <w:rPr>
                <w:rFonts w:ascii="Book Antiqua" w:eastAsia="Times New Roman" w:hAnsi="Book Antiqua" w:cs="Arial"/>
                <w:b/>
                <w:bCs/>
                <w:sz w:val="20"/>
                <w:szCs w:val="20"/>
                <w:lang w:eastAsia="en-IN"/>
              </w:rPr>
              <w:t>ate</w:t>
            </w:r>
          </w:p>
        </w:tc>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57F2" w:rsidRPr="002A7580" w:rsidRDefault="00BB57F2" w:rsidP="005C597E">
            <w:pPr>
              <w:spacing w:after="240" w:line="276" w:lineRule="auto"/>
              <w:contextualSpacing/>
              <w:jc w:val="right"/>
              <w:rPr>
                <w:rFonts w:ascii="Book Antiqua" w:eastAsia="Times New Roman" w:hAnsi="Book Antiqua"/>
                <w:b/>
                <w:bCs/>
                <w:color w:val="000000"/>
                <w:lang w:eastAsia="en-IN"/>
              </w:rPr>
            </w:pPr>
            <w:r>
              <w:rPr>
                <w:rFonts w:ascii="Book Antiqua" w:eastAsia="Times New Roman" w:hAnsi="Book Antiqua"/>
                <w:b/>
                <w:bCs/>
                <w:color w:val="000000"/>
                <w:sz w:val="22"/>
                <w:szCs w:val="22"/>
                <w:lang w:eastAsia="en-IN"/>
              </w:rPr>
              <w:t>9.69 %</w:t>
            </w:r>
          </w:p>
        </w:tc>
      </w:tr>
    </w:tbl>
    <w:p w:rsidR="00E00FE1" w:rsidRDefault="00E00FE1" w:rsidP="00B9383C">
      <w:pPr>
        <w:spacing w:after="240" w:line="276" w:lineRule="auto"/>
        <w:rPr>
          <w:rFonts w:eastAsia="Times New Roman"/>
          <w:color w:val="000000"/>
        </w:rPr>
      </w:pPr>
    </w:p>
    <w:p w:rsidR="00D20D68" w:rsidRPr="005C597E" w:rsidRDefault="00D20D68">
      <w:pPr>
        <w:numPr>
          <w:ilvl w:val="1"/>
          <w:numId w:val="8"/>
        </w:numPr>
        <w:spacing w:after="240" w:line="276" w:lineRule="auto"/>
        <w:ind w:hanging="357"/>
        <w:rPr>
          <w:rFonts w:eastAsia="Times New Roman"/>
          <w:color w:val="000000"/>
        </w:rPr>
      </w:pPr>
      <w:r>
        <w:rPr>
          <w:rFonts w:ascii="Book Antiqua" w:eastAsia="Times New Roman" w:hAnsi="Book Antiqua"/>
          <w:color w:val="000000"/>
        </w:rPr>
        <w:t>justify the increase in interest rate to 9.69% as against the approved rate of 7.27%</w:t>
      </w:r>
      <w:r w:rsidR="0038113A">
        <w:rPr>
          <w:rFonts w:ascii="Book Antiqua" w:eastAsia="Times New Roman" w:hAnsi="Book Antiqua"/>
          <w:color w:val="000000"/>
        </w:rPr>
        <w:t>.</w:t>
      </w:r>
    </w:p>
    <w:p w:rsidR="00BB57F2" w:rsidRPr="00967B41" w:rsidRDefault="0047700B" w:rsidP="005C597E">
      <w:pPr>
        <w:spacing w:after="240" w:line="276" w:lineRule="auto"/>
        <w:ind w:left="709"/>
        <w:rPr>
          <w:rFonts w:ascii="Book Antiqua" w:eastAsia="Times New Roman" w:hAnsi="Book Antiqua"/>
          <w:color w:val="000000"/>
        </w:rPr>
      </w:pPr>
      <w:r w:rsidRPr="00967B41">
        <w:rPr>
          <w:rFonts w:ascii="Book Antiqua" w:eastAsia="Times New Roman" w:hAnsi="Book Antiqua"/>
          <w:b/>
          <w:bCs/>
          <w:color w:val="000000"/>
        </w:rPr>
        <w:t>Compliance: -</w:t>
      </w:r>
    </w:p>
    <w:p w:rsidR="0038113A" w:rsidRPr="000357FD" w:rsidRDefault="0047700B" w:rsidP="000357FD">
      <w:pPr>
        <w:spacing w:after="240" w:line="276" w:lineRule="auto"/>
        <w:ind w:left="709"/>
        <w:rPr>
          <w:rFonts w:ascii="Book Antiqua" w:eastAsia="Times New Roman" w:hAnsi="Book Antiqua"/>
          <w:color w:val="000000"/>
        </w:rPr>
      </w:pPr>
      <w:r w:rsidRPr="00967B41">
        <w:rPr>
          <w:rFonts w:ascii="Book Antiqua" w:eastAsia="Times New Roman" w:hAnsi="Book Antiqua"/>
          <w:color w:val="000000"/>
        </w:rPr>
        <w:t>Interest rate has been calculated based on actuals of audited financial statements.</w:t>
      </w:r>
    </w:p>
    <w:p w:rsidR="00D20D68" w:rsidRPr="000357FD" w:rsidRDefault="00D20D68" w:rsidP="002E189D">
      <w:pPr>
        <w:numPr>
          <w:ilvl w:val="0"/>
          <w:numId w:val="8"/>
        </w:numPr>
        <w:spacing w:after="240" w:line="276" w:lineRule="auto"/>
        <w:ind w:left="630" w:hanging="357"/>
        <w:rPr>
          <w:b/>
          <w:bCs/>
          <w:color w:val="000000"/>
        </w:rPr>
      </w:pPr>
      <w:r w:rsidRPr="000357FD">
        <w:rPr>
          <w:rFonts w:ascii="Book Antiqua" w:hAnsi="Book Antiqua"/>
          <w:b/>
          <w:bCs/>
          <w:color w:val="000000"/>
        </w:rPr>
        <w:t>UGVCL should submit the details of consumer security deposit for FY 2018-19 in the following format:</w:t>
      </w:r>
    </w:p>
    <w:p w:rsidR="00CC7921" w:rsidRPr="000357FD" w:rsidRDefault="00381DE4" w:rsidP="005C597E">
      <w:pPr>
        <w:spacing w:after="240"/>
        <w:jc w:val="both"/>
        <w:rPr>
          <w:b/>
          <w:bCs/>
          <w:i/>
          <w:iCs/>
          <w:u w:val="single"/>
          <w:lang w:val="en-GB"/>
        </w:rPr>
      </w:pPr>
      <w:r w:rsidRPr="000357FD">
        <w:rPr>
          <w:rFonts w:ascii="Book Antiqua" w:eastAsia="Times New Roman" w:hAnsi="Book Antiqua"/>
          <w:b/>
          <w:bCs/>
          <w:color w:val="000000"/>
        </w:rPr>
        <w:t>Compliance: -</w:t>
      </w:r>
    </w:p>
    <w:tbl>
      <w:tblPr>
        <w:tblW w:w="4139" w:type="pct"/>
        <w:jc w:val="center"/>
        <w:tblCellMar>
          <w:left w:w="0" w:type="dxa"/>
          <w:right w:w="0" w:type="dxa"/>
        </w:tblCellMar>
        <w:tblLook w:val="04A0"/>
      </w:tblPr>
      <w:tblGrid>
        <w:gridCol w:w="610"/>
        <w:gridCol w:w="5401"/>
        <w:gridCol w:w="2832"/>
      </w:tblGrid>
      <w:tr w:rsidR="00D20D68" w:rsidTr="00BB57F2">
        <w:trPr>
          <w:trHeight w:val="57"/>
          <w:tblHeader/>
          <w:jc w:val="center"/>
        </w:trPr>
        <w:tc>
          <w:tcPr>
            <w:tcW w:w="149" w:type="pct"/>
            <w:tcBorders>
              <w:top w:val="single" w:sz="8" w:space="0" w:color="auto"/>
              <w:left w:val="single" w:sz="8" w:space="0" w:color="auto"/>
              <w:bottom w:val="single" w:sz="8" w:space="0" w:color="auto"/>
              <w:right w:val="single" w:sz="8" w:space="0" w:color="auto"/>
            </w:tcBorders>
            <w:shd w:val="clear" w:color="auto" w:fill="FABF8F" w:themeFill="accent6" w:themeFillTint="99"/>
            <w:tcMar>
              <w:top w:w="0" w:type="dxa"/>
              <w:left w:w="108" w:type="dxa"/>
              <w:bottom w:w="0" w:type="dxa"/>
              <w:right w:w="108" w:type="dxa"/>
            </w:tcMar>
            <w:vAlign w:val="center"/>
            <w:hideMark/>
          </w:tcPr>
          <w:p w:rsidR="00D20D68" w:rsidRDefault="00D20D68" w:rsidP="004C0483">
            <w:pPr>
              <w:spacing w:after="240" w:line="276" w:lineRule="auto"/>
              <w:contextualSpacing/>
              <w:jc w:val="center"/>
            </w:pPr>
            <w:r>
              <w:rPr>
                <w:rFonts w:ascii="Book Antiqua" w:hAnsi="Book Antiqua"/>
                <w:b/>
                <w:bCs/>
              </w:rPr>
              <w:lastRenderedPageBreak/>
              <w:t>Sr. No.</w:t>
            </w:r>
          </w:p>
        </w:tc>
        <w:tc>
          <w:tcPr>
            <w:tcW w:w="3152" w:type="pct"/>
            <w:tcBorders>
              <w:top w:val="single" w:sz="8" w:space="0" w:color="auto"/>
              <w:left w:val="nil"/>
              <w:bottom w:val="single" w:sz="8" w:space="0" w:color="auto"/>
              <w:right w:val="single" w:sz="8" w:space="0" w:color="auto"/>
            </w:tcBorders>
            <w:shd w:val="clear" w:color="auto" w:fill="FABF8F" w:themeFill="accent6" w:themeFillTint="99"/>
            <w:tcMar>
              <w:top w:w="0" w:type="dxa"/>
              <w:left w:w="108" w:type="dxa"/>
              <w:bottom w:w="0" w:type="dxa"/>
              <w:right w:w="108" w:type="dxa"/>
            </w:tcMar>
            <w:vAlign w:val="center"/>
            <w:hideMark/>
          </w:tcPr>
          <w:p w:rsidR="00D20D68" w:rsidRDefault="00D20D68" w:rsidP="004C0483">
            <w:pPr>
              <w:spacing w:after="240" w:line="276" w:lineRule="auto"/>
              <w:contextualSpacing/>
              <w:jc w:val="center"/>
            </w:pPr>
            <w:r>
              <w:rPr>
                <w:rFonts w:ascii="Book Antiqua" w:hAnsi="Book Antiqua"/>
                <w:b/>
                <w:bCs/>
              </w:rPr>
              <w:t>Particulars</w:t>
            </w:r>
          </w:p>
        </w:tc>
        <w:tc>
          <w:tcPr>
            <w:tcW w:w="1699" w:type="pct"/>
            <w:tcBorders>
              <w:top w:val="single" w:sz="8" w:space="0" w:color="auto"/>
              <w:left w:val="nil"/>
              <w:bottom w:val="single" w:sz="8" w:space="0" w:color="auto"/>
              <w:right w:val="single" w:sz="8" w:space="0" w:color="auto"/>
            </w:tcBorders>
            <w:shd w:val="clear" w:color="auto" w:fill="FABF8F" w:themeFill="accent6" w:themeFillTint="99"/>
            <w:tcMar>
              <w:top w:w="0" w:type="dxa"/>
              <w:left w:w="108" w:type="dxa"/>
              <w:bottom w:w="0" w:type="dxa"/>
              <w:right w:w="108" w:type="dxa"/>
            </w:tcMar>
            <w:vAlign w:val="center"/>
            <w:hideMark/>
          </w:tcPr>
          <w:p w:rsidR="004C0483" w:rsidRDefault="00D20D68" w:rsidP="004C0483">
            <w:pPr>
              <w:spacing w:after="240" w:line="276" w:lineRule="auto"/>
              <w:contextualSpacing/>
              <w:jc w:val="center"/>
              <w:rPr>
                <w:rFonts w:ascii="Book Antiqua" w:hAnsi="Book Antiqua"/>
                <w:b/>
                <w:bCs/>
              </w:rPr>
            </w:pPr>
            <w:r>
              <w:rPr>
                <w:rFonts w:ascii="Book Antiqua" w:hAnsi="Book Antiqua"/>
                <w:b/>
                <w:bCs/>
              </w:rPr>
              <w:t>FY 2018-19</w:t>
            </w:r>
          </w:p>
          <w:p w:rsidR="00D20D68" w:rsidRDefault="00CC7921" w:rsidP="004C0483">
            <w:pPr>
              <w:spacing w:after="240" w:line="276" w:lineRule="auto"/>
              <w:contextualSpacing/>
              <w:jc w:val="center"/>
            </w:pPr>
            <w:r>
              <w:rPr>
                <w:rFonts w:ascii="Book Antiqua" w:hAnsi="Book Antiqua"/>
                <w:b/>
                <w:bCs/>
              </w:rPr>
              <w:t>(in Crore)</w:t>
            </w:r>
          </w:p>
        </w:tc>
      </w:tr>
      <w:tr w:rsidR="00D20D68" w:rsidTr="005C597E">
        <w:trPr>
          <w:trHeight w:val="280"/>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0D68" w:rsidRDefault="00D20D68" w:rsidP="005C597E">
            <w:pPr>
              <w:spacing w:after="240" w:line="276" w:lineRule="auto"/>
              <w:contextualSpacing/>
              <w:jc w:val="both"/>
            </w:pPr>
            <w:r>
              <w:rPr>
                <w:rFonts w:ascii="Book Antiqua" w:hAnsi="Book Antiqua"/>
              </w:rPr>
              <w:t>1</w:t>
            </w:r>
          </w:p>
        </w:tc>
        <w:tc>
          <w:tcPr>
            <w:tcW w:w="3152" w:type="pct"/>
            <w:tcBorders>
              <w:top w:val="nil"/>
              <w:left w:val="nil"/>
              <w:bottom w:val="single" w:sz="8" w:space="0" w:color="auto"/>
              <w:right w:val="single" w:sz="8" w:space="0" w:color="auto"/>
            </w:tcBorders>
            <w:tcMar>
              <w:top w:w="0" w:type="dxa"/>
              <w:left w:w="108" w:type="dxa"/>
              <w:bottom w:w="0" w:type="dxa"/>
              <w:right w:w="108" w:type="dxa"/>
            </w:tcMar>
            <w:hideMark/>
          </w:tcPr>
          <w:p w:rsidR="00D20D68" w:rsidRDefault="00D20D68" w:rsidP="005C597E">
            <w:pPr>
              <w:spacing w:after="240" w:line="276" w:lineRule="auto"/>
              <w:contextualSpacing/>
              <w:jc w:val="both"/>
            </w:pPr>
            <w:r>
              <w:rPr>
                <w:rFonts w:ascii="Book Antiqua" w:hAnsi="Book Antiqua"/>
              </w:rPr>
              <w:t>Opening Balance</w:t>
            </w:r>
          </w:p>
        </w:tc>
        <w:tc>
          <w:tcPr>
            <w:tcW w:w="1699" w:type="pct"/>
            <w:tcBorders>
              <w:top w:val="nil"/>
              <w:left w:val="nil"/>
              <w:bottom w:val="single" w:sz="8" w:space="0" w:color="auto"/>
              <w:right w:val="single" w:sz="8" w:space="0" w:color="auto"/>
            </w:tcBorders>
            <w:tcMar>
              <w:top w:w="0" w:type="dxa"/>
              <w:left w:w="108" w:type="dxa"/>
              <w:bottom w:w="0" w:type="dxa"/>
              <w:right w:w="108" w:type="dxa"/>
            </w:tcMar>
            <w:hideMark/>
          </w:tcPr>
          <w:p w:rsidR="00D20D68" w:rsidRPr="00875B06" w:rsidRDefault="00875B06" w:rsidP="0048296E">
            <w:pPr>
              <w:tabs>
                <w:tab w:val="left" w:pos="1983"/>
              </w:tabs>
              <w:spacing w:after="240" w:line="276" w:lineRule="auto"/>
              <w:ind w:right="172"/>
              <w:contextualSpacing/>
              <w:jc w:val="right"/>
            </w:pPr>
            <w:r>
              <w:rPr>
                <w:rFonts w:ascii="Book Antiqua" w:hAnsi="Book Antiqua"/>
              </w:rPr>
              <w:t>1</w:t>
            </w:r>
            <w:r w:rsidR="00CC7921">
              <w:rPr>
                <w:rFonts w:ascii="Book Antiqua" w:hAnsi="Book Antiqua"/>
              </w:rPr>
              <w:t>,257.7</w:t>
            </w:r>
            <w:r w:rsidR="002A32D7">
              <w:rPr>
                <w:rFonts w:ascii="Book Antiqua" w:hAnsi="Book Antiqua"/>
              </w:rPr>
              <w:t>6</w:t>
            </w:r>
          </w:p>
        </w:tc>
      </w:tr>
      <w:tr w:rsidR="00D20D68" w:rsidTr="005C597E">
        <w:trPr>
          <w:trHeight w:val="57"/>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0D68" w:rsidRDefault="00D20D68" w:rsidP="005C597E">
            <w:pPr>
              <w:spacing w:after="240" w:line="276" w:lineRule="auto"/>
              <w:contextualSpacing/>
              <w:jc w:val="both"/>
            </w:pPr>
            <w:r>
              <w:rPr>
                <w:rFonts w:ascii="Book Antiqua" w:hAnsi="Book Antiqua"/>
              </w:rPr>
              <w:t>2</w:t>
            </w:r>
          </w:p>
        </w:tc>
        <w:tc>
          <w:tcPr>
            <w:tcW w:w="3152" w:type="pct"/>
            <w:tcBorders>
              <w:top w:val="nil"/>
              <w:left w:val="nil"/>
              <w:bottom w:val="single" w:sz="8" w:space="0" w:color="auto"/>
              <w:right w:val="single" w:sz="8" w:space="0" w:color="auto"/>
            </w:tcBorders>
            <w:tcMar>
              <w:top w:w="0" w:type="dxa"/>
              <w:left w:w="108" w:type="dxa"/>
              <w:bottom w:w="0" w:type="dxa"/>
              <w:right w:w="108" w:type="dxa"/>
            </w:tcMar>
            <w:hideMark/>
          </w:tcPr>
          <w:p w:rsidR="00D20D68" w:rsidRDefault="00D20D68" w:rsidP="005C597E">
            <w:pPr>
              <w:spacing w:after="240" w:line="276" w:lineRule="auto"/>
              <w:contextualSpacing/>
              <w:jc w:val="both"/>
            </w:pPr>
            <w:r>
              <w:rPr>
                <w:rFonts w:ascii="Book Antiqua" w:hAnsi="Book Antiqua"/>
              </w:rPr>
              <w:t>Addition during the year</w:t>
            </w:r>
          </w:p>
        </w:tc>
        <w:tc>
          <w:tcPr>
            <w:tcW w:w="1699" w:type="pct"/>
            <w:tcBorders>
              <w:top w:val="nil"/>
              <w:left w:val="nil"/>
              <w:bottom w:val="single" w:sz="8" w:space="0" w:color="auto"/>
              <w:right w:val="single" w:sz="8" w:space="0" w:color="auto"/>
            </w:tcBorders>
            <w:tcMar>
              <w:top w:w="0" w:type="dxa"/>
              <w:left w:w="108" w:type="dxa"/>
              <w:bottom w:w="0" w:type="dxa"/>
              <w:right w:w="108" w:type="dxa"/>
            </w:tcMar>
            <w:hideMark/>
          </w:tcPr>
          <w:p w:rsidR="00D20D68" w:rsidRPr="00875B06" w:rsidRDefault="00D20D68" w:rsidP="0048296E">
            <w:pPr>
              <w:tabs>
                <w:tab w:val="left" w:pos="1983"/>
              </w:tabs>
              <w:spacing w:after="240" w:line="276" w:lineRule="auto"/>
              <w:ind w:right="172"/>
              <w:contextualSpacing/>
              <w:jc w:val="right"/>
            </w:pPr>
            <w:r w:rsidRPr="005C597E">
              <w:rPr>
                <w:rFonts w:ascii="Book Antiqua" w:hAnsi="Book Antiqua"/>
              </w:rPr>
              <w:t> </w:t>
            </w:r>
            <w:r w:rsidR="00CC7921">
              <w:rPr>
                <w:rFonts w:ascii="Book Antiqua" w:hAnsi="Book Antiqua"/>
              </w:rPr>
              <w:t>151.12</w:t>
            </w:r>
          </w:p>
        </w:tc>
      </w:tr>
      <w:tr w:rsidR="00D20D68" w:rsidTr="005C597E">
        <w:trPr>
          <w:trHeight w:val="57"/>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0D68" w:rsidRDefault="00D20D68" w:rsidP="005C597E">
            <w:pPr>
              <w:spacing w:after="240" w:line="276" w:lineRule="auto"/>
              <w:contextualSpacing/>
              <w:jc w:val="both"/>
            </w:pPr>
            <w:r>
              <w:rPr>
                <w:rFonts w:ascii="Book Antiqua" w:hAnsi="Book Antiqua"/>
              </w:rPr>
              <w:t>3</w:t>
            </w:r>
          </w:p>
        </w:tc>
        <w:tc>
          <w:tcPr>
            <w:tcW w:w="3152" w:type="pct"/>
            <w:tcBorders>
              <w:top w:val="nil"/>
              <w:left w:val="nil"/>
              <w:bottom w:val="single" w:sz="8" w:space="0" w:color="auto"/>
              <w:right w:val="single" w:sz="8" w:space="0" w:color="auto"/>
            </w:tcBorders>
            <w:tcMar>
              <w:top w:w="0" w:type="dxa"/>
              <w:left w:w="108" w:type="dxa"/>
              <w:bottom w:w="0" w:type="dxa"/>
              <w:right w:w="108" w:type="dxa"/>
            </w:tcMar>
            <w:hideMark/>
          </w:tcPr>
          <w:p w:rsidR="00D20D68" w:rsidRDefault="00D20D68" w:rsidP="005C597E">
            <w:pPr>
              <w:spacing w:after="240" w:line="276" w:lineRule="auto"/>
              <w:contextualSpacing/>
              <w:jc w:val="both"/>
            </w:pPr>
            <w:r>
              <w:rPr>
                <w:rFonts w:ascii="Book Antiqua" w:hAnsi="Book Antiqua"/>
              </w:rPr>
              <w:t>Closing balance</w:t>
            </w:r>
          </w:p>
        </w:tc>
        <w:tc>
          <w:tcPr>
            <w:tcW w:w="1699" w:type="pct"/>
            <w:tcBorders>
              <w:top w:val="nil"/>
              <w:left w:val="nil"/>
              <w:bottom w:val="single" w:sz="8" w:space="0" w:color="auto"/>
              <w:right w:val="single" w:sz="8" w:space="0" w:color="auto"/>
            </w:tcBorders>
            <w:tcMar>
              <w:top w:w="0" w:type="dxa"/>
              <w:left w:w="108" w:type="dxa"/>
              <w:bottom w:w="0" w:type="dxa"/>
              <w:right w:w="108" w:type="dxa"/>
            </w:tcMar>
            <w:hideMark/>
          </w:tcPr>
          <w:p w:rsidR="00D20D68" w:rsidRPr="00875B06" w:rsidRDefault="00D20D68" w:rsidP="0048296E">
            <w:pPr>
              <w:tabs>
                <w:tab w:val="left" w:pos="1983"/>
              </w:tabs>
              <w:spacing w:after="240" w:line="276" w:lineRule="auto"/>
              <w:ind w:right="172"/>
              <w:contextualSpacing/>
              <w:jc w:val="right"/>
            </w:pPr>
            <w:r w:rsidRPr="005C597E">
              <w:rPr>
                <w:rFonts w:ascii="Book Antiqua" w:hAnsi="Book Antiqua"/>
              </w:rPr>
              <w:t> </w:t>
            </w:r>
            <w:r w:rsidR="00CC7921">
              <w:rPr>
                <w:rFonts w:ascii="Book Antiqua" w:hAnsi="Book Antiqua"/>
              </w:rPr>
              <w:t>1,408.88</w:t>
            </w:r>
          </w:p>
        </w:tc>
      </w:tr>
      <w:tr w:rsidR="00D20D68" w:rsidTr="005C597E">
        <w:trPr>
          <w:trHeight w:val="57"/>
          <w:jc w:val="center"/>
        </w:trPr>
        <w:tc>
          <w:tcPr>
            <w:tcW w:w="1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0D68" w:rsidRPr="00AD3013" w:rsidRDefault="00D20D68" w:rsidP="005C597E">
            <w:pPr>
              <w:spacing w:after="240" w:line="276" w:lineRule="auto"/>
              <w:contextualSpacing/>
              <w:jc w:val="both"/>
            </w:pPr>
            <w:r w:rsidRPr="00AD3013">
              <w:rPr>
                <w:rFonts w:ascii="Book Antiqua" w:hAnsi="Book Antiqua"/>
              </w:rPr>
              <w:t>4</w:t>
            </w:r>
          </w:p>
        </w:tc>
        <w:tc>
          <w:tcPr>
            <w:tcW w:w="3152" w:type="pct"/>
            <w:tcBorders>
              <w:top w:val="nil"/>
              <w:left w:val="nil"/>
              <w:bottom w:val="single" w:sz="8" w:space="0" w:color="auto"/>
              <w:right w:val="single" w:sz="8" w:space="0" w:color="auto"/>
            </w:tcBorders>
            <w:tcMar>
              <w:top w:w="0" w:type="dxa"/>
              <w:left w:w="108" w:type="dxa"/>
              <w:bottom w:w="0" w:type="dxa"/>
              <w:right w:w="108" w:type="dxa"/>
            </w:tcMar>
            <w:hideMark/>
          </w:tcPr>
          <w:p w:rsidR="00D20D68" w:rsidRPr="00AD3013" w:rsidRDefault="00D20D68" w:rsidP="005C597E">
            <w:pPr>
              <w:spacing w:after="240" w:line="276" w:lineRule="auto"/>
              <w:contextualSpacing/>
              <w:jc w:val="both"/>
            </w:pPr>
            <w:r w:rsidRPr="00AD3013">
              <w:rPr>
                <w:rFonts w:ascii="Book Antiqua" w:hAnsi="Book Antiqua"/>
              </w:rPr>
              <w:t>Actual Interest Paid/adjusted on CSD</w:t>
            </w:r>
          </w:p>
        </w:tc>
        <w:tc>
          <w:tcPr>
            <w:tcW w:w="1699" w:type="pct"/>
            <w:tcBorders>
              <w:top w:val="nil"/>
              <w:left w:val="nil"/>
              <w:bottom w:val="single" w:sz="8" w:space="0" w:color="auto"/>
              <w:right w:val="single" w:sz="8" w:space="0" w:color="auto"/>
            </w:tcBorders>
            <w:tcMar>
              <w:top w:w="0" w:type="dxa"/>
              <w:left w:w="108" w:type="dxa"/>
              <w:bottom w:w="0" w:type="dxa"/>
              <w:right w:w="108" w:type="dxa"/>
            </w:tcMar>
            <w:hideMark/>
          </w:tcPr>
          <w:p w:rsidR="00D20D68" w:rsidRPr="007D4215" w:rsidRDefault="00D20D68" w:rsidP="0048296E">
            <w:pPr>
              <w:tabs>
                <w:tab w:val="left" w:pos="1983"/>
              </w:tabs>
              <w:spacing w:after="240" w:line="276" w:lineRule="auto"/>
              <w:ind w:right="172"/>
              <w:contextualSpacing/>
              <w:jc w:val="right"/>
            </w:pPr>
            <w:r w:rsidRPr="00AD3013">
              <w:rPr>
                <w:rFonts w:ascii="Book Antiqua" w:hAnsi="Book Antiqua"/>
              </w:rPr>
              <w:t> </w:t>
            </w:r>
            <w:r w:rsidR="0048296E" w:rsidRPr="00AD3013">
              <w:rPr>
                <w:rFonts w:ascii="Book Antiqua" w:hAnsi="Book Antiqua"/>
              </w:rPr>
              <w:t>78.19</w:t>
            </w:r>
          </w:p>
        </w:tc>
      </w:tr>
    </w:tbl>
    <w:p w:rsidR="00D20D68" w:rsidRDefault="00D20D68" w:rsidP="005C597E">
      <w:pPr>
        <w:spacing w:after="240" w:line="276" w:lineRule="auto"/>
        <w:contextualSpacing/>
        <w:jc w:val="both"/>
        <w:rPr>
          <w:color w:val="000000"/>
          <w:sz w:val="22"/>
          <w:szCs w:val="22"/>
        </w:rPr>
      </w:pPr>
      <w:r>
        <w:rPr>
          <w:rFonts w:ascii="Book Antiqua" w:hAnsi="Book Antiqua"/>
          <w:color w:val="000000"/>
        </w:rPr>
        <w:t> </w:t>
      </w:r>
    </w:p>
    <w:p w:rsidR="00381DE4" w:rsidRPr="007D4215" w:rsidRDefault="00381DE4" w:rsidP="007D4215">
      <w:pPr>
        <w:spacing w:after="240" w:line="276" w:lineRule="auto"/>
        <w:ind w:left="630"/>
        <w:jc w:val="both"/>
        <w:rPr>
          <w:color w:val="000000"/>
        </w:rPr>
      </w:pPr>
    </w:p>
    <w:p w:rsidR="00875B06" w:rsidRPr="000357FD" w:rsidRDefault="00875B06" w:rsidP="00875B06">
      <w:pPr>
        <w:numPr>
          <w:ilvl w:val="0"/>
          <w:numId w:val="9"/>
        </w:numPr>
        <w:spacing w:after="240" w:line="276" w:lineRule="auto"/>
        <w:ind w:left="630" w:hanging="357"/>
        <w:jc w:val="both"/>
        <w:rPr>
          <w:b/>
          <w:bCs/>
          <w:color w:val="000000"/>
        </w:rPr>
      </w:pPr>
      <w:r w:rsidRPr="000357FD">
        <w:rPr>
          <w:rFonts w:ascii="Book Antiqua" w:hAnsi="Book Antiqua"/>
          <w:b/>
          <w:bCs/>
          <w:color w:val="000000"/>
        </w:rPr>
        <w:t>UGVCL should reconcile the revenue of Rs. 12,014.87 Crore shown in Table 37 for FY 2018-19 against the amount of Rs. 12,183.30 Crore reflecting in audited accounts.</w:t>
      </w:r>
    </w:p>
    <w:p w:rsidR="00875B06" w:rsidRPr="002A7580" w:rsidRDefault="00381DE4" w:rsidP="00875B06">
      <w:pPr>
        <w:spacing w:before="240" w:after="240"/>
        <w:ind w:left="709"/>
        <w:jc w:val="both"/>
        <w:rPr>
          <w:rFonts w:ascii="Book Antiqua" w:hAnsi="Book Antiqua"/>
          <w:lang w:val="en-GB"/>
        </w:rPr>
      </w:pPr>
      <w:r w:rsidRPr="000357FD">
        <w:rPr>
          <w:rFonts w:ascii="Book Antiqua" w:eastAsia="Times New Roman" w:hAnsi="Book Antiqua"/>
          <w:b/>
          <w:bCs/>
          <w:color w:val="000000"/>
        </w:rPr>
        <w:t>Compliance: -</w:t>
      </w:r>
      <w:r w:rsidR="00875B06" w:rsidRPr="002A7580">
        <w:rPr>
          <w:rFonts w:ascii="Book Antiqua" w:hAnsi="Book Antiqua"/>
          <w:lang w:val="en-GB"/>
        </w:rPr>
        <w:t>Following is the reconciliation of Rs. 12,183.30 in Note 32 ‘Revenue from Operations’ of Audited Account:</w:t>
      </w:r>
    </w:p>
    <w:tbl>
      <w:tblPr>
        <w:tblStyle w:val="TableGrid"/>
        <w:tblW w:w="0" w:type="auto"/>
        <w:jc w:val="center"/>
        <w:tblLook w:val="04A0"/>
      </w:tblPr>
      <w:tblGrid>
        <w:gridCol w:w="5807"/>
        <w:gridCol w:w="2552"/>
      </w:tblGrid>
      <w:tr w:rsidR="00875B06" w:rsidRPr="00D70F0D" w:rsidTr="00D70F0D">
        <w:trPr>
          <w:trHeight w:val="383"/>
          <w:jc w:val="center"/>
        </w:trPr>
        <w:tc>
          <w:tcPr>
            <w:tcW w:w="5807" w:type="dxa"/>
            <w:shd w:val="clear" w:color="auto" w:fill="FABF8F" w:themeFill="accent6" w:themeFillTint="99"/>
          </w:tcPr>
          <w:p w:rsidR="00875B06" w:rsidRPr="00D70F0D" w:rsidRDefault="00875B06" w:rsidP="00E22E4A">
            <w:pPr>
              <w:spacing w:line="312" w:lineRule="auto"/>
              <w:jc w:val="both"/>
              <w:rPr>
                <w:rFonts w:ascii="Book Antiqua" w:hAnsi="Book Antiqua"/>
                <w:lang w:val="en-GB"/>
              </w:rPr>
            </w:pPr>
            <w:r w:rsidRPr="00D70F0D">
              <w:rPr>
                <w:rFonts w:ascii="Book Antiqua" w:hAnsi="Book Antiqua"/>
                <w:b/>
                <w:bCs/>
                <w:lang w:val="en-GB"/>
              </w:rPr>
              <w:t>Particulars</w:t>
            </w:r>
          </w:p>
        </w:tc>
        <w:tc>
          <w:tcPr>
            <w:tcW w:w="2552" w:type="dxa"/>
            <w:shd w:val="clear" w:color="auto" w:fill="FABF8F" w:themeFill="accent6" w:themeFillTint="99"/>
          </w:tcPr>
          <w:p w:rsidR="00875B06" w:rsidRPr="00D70F0D" w:rsidRDefault="00875B06" w:rsidP="00E22E4A">
            <w:pPr>
              <w:spacing w:line="312" w:lineRule="auto"/>
              <w:jc w:val="both"/>
              <w:rPr>
                <w:rFonts w:ascii="Book Antiqua" w:hAnsi="Book Antiqua"/>
                <w:lang w:val="en-GB"/>
              </w:rPr>
            </w:pPr>
            <w:r w:rsidRPr="00D70F0D">
              <w:rPr>
                <w:rFonts w:ascii="Book Antiqua" w:hAnsi="Book Antiqua"/>
                <w:b/>
                <w:bCs/>
                <w:lang w:val="en-GB"/>
              </w:rPr>
              <w:t>Amount (Rs. Crore)</w:t>
            </w:r>
          </w:p>
        </w:tc>
      </w:tr>
      <w:tr w:rsidR="00875B06" w:rsidRPr="00D70F0D" w:rsidTr="00D70F0D">
        <w:trPr>
          <w:trHeight w:val="366"/>
          <w:jc w:val="center"/>
        </w:trPr>
        <w:tc>
          <w:tcPr>
            <w:tcW w:w="5807" w:type="dxa"/>
          </w:tcPr>
          <w:p w:rsidR="00875B06" w:rsidRPr="00D70F0D" w:rsidRDefault="00875B06" w:rsidP="00E22E4A">
            <w:pPr>
              <w:spacing w:line="312" w:lineRule="auto"/>
              <w:jc w:val="both"/>
              <w:rPr>
                <w:rFonts w:ascii="Book Antiqua" w:hAnsi="Book Antiqua"/>
                <w:lang w:val="en-GB"/>
              </w:rPr>
            </w:pPr>
            <w:r w:rsidRPr="00D70F0D">
              <w:rPr>
                <w:rFonts w:ascii="Book Antiqua" w:hAnsi="Book Antiqua"/>
                <w:lang w:val="en-GB"/>
              </w:rPr>
              <w:t>‘Revenue from Operation’ as per Audited Accounts</w:t>
            </w:r>
          </w:p>
        </w:tc>
        <w:tc>
          <w:tcPr>
            <w:tcW w:w="2552" w:type="dxa"/>
            <w:shd w:val="clear" w:color="auto" w:fill="auto"/>
          </w:tcPr>
          <w:p w:rsidR="00875B06" w:rsidRPr="00D70F0D" w:rsidRDefault="00875B06" w:rsidP="00E22E4A">
            <w:pPr>
              <w:spacing w:line="312" w:lineRule="auto"/>
              <w:jc w:val="both"/>
              <w:rPr>
                <w:rFonts w:ascii="Book Antiqua" w:hAnsi="Book Antiqua"/>
                <w:lang w:val="en-GB"/>
              </w:rPr>
            </w:pPr>
            <w:r w:rsidRPr="00D70F0D">
              <w:rPr>
                <w:rFonts w:ascii="Book Antiqua" w:hAnsi="Book Antiqua"/>
                <w:lang w:val="en-GB"/>
              </w:rPr>
              <w:t>12,183.30</w:t>
            </w:r>
          </w:p>
        </w:tc>
      </w:tr>
      <w:tr w:rsidR="00875B06" w:rsidRPr="00D70F0D" w:rsidTr="00D70F0D">
        <w:trPr>
          <w:trHeight w:val="383"/>
          <w:jc w:val="center"/>
        </w:trPr>
        <w:tc>
          <w:tcPr>
            <w:tcW w:w="5807" w:type="dxa"/>
          </w:tcPr>
          <w:p w:rsidR="00875B06" w:rsidRPr="00D70F0D" w:rsidRDefault="00875B06" w:rsidP="00E22E4A">
            <w:pPr>
              <w:spacing w:line="312" w:lineRule="auto"/>
              <w:jc w:val="both"/>
              <w:rPr>
                <w:rFonts w:ascii="Book Antiqua" w:hAnsi="Book Antiqua"/>
                <w:lang w:val="en-GB"/>
              </w:rPr>
            </w:pPr>
            <w:r w:rsidRPr="00D70F0D">
              <w:rPr>
                <w:rFonts w:ascii="Book Antiqua" w:hAnsi="Book Antiqua"/>
                <w:lang w:val="en-GB"/>
              </w:rPr>
              <w:t>LESS: Delay Payment Charges from Consumer</w:t>
            </w:r>
          </w:p>
        </w:tc>
        <w:tc>
          <w:tcPr>
            <w:tcW w:w="2552" w:type="dxa"/>
            <w:shd w:val="clear" w:color="auto" w:fill="auto"/>
          </w:tcPr>
          <w:p w:rsidR="00875B06" w:rsidRPr="00D70F0D" w:rsidRDefault="00875B06" w:rsidP="00E22E4A">
            <w:pPr>
              <w:spacing w:line="312" w:lineRule="auto"/>
              <w:jc w:val="both"/>
              <w:rPr>
                <w:rFonts w:ascii="Book Antiqua" w:hAnsi="Book Antiqua"/>
                <w:lang w:val="en-GB"/>
              </w:rPr>
            </w:pPr>
            <w:r w:rsidRPr="00D70F0D">
              <w:rPr>
                <w:rFonts w:ascii="Book Antiqua" w:hAnsi="Book Antiqua"/>
                <w:lang w:val="en-GB"/>
              </w:rPr>
              <w:t>(28.01)</w:t>
            </w:r>
          </w:p>
        </w:tc>
      </w:tr>
      <w:tr w:rsidR="00875B06" w:rsidRPr="00D70F0D" w:rsidTr="00D70F0D">
        <w:trPr>
          <w:trHeight w:val="366"/>
          <w:jc w:val="center"/>
        </w:trPr>
        <w:tc>
          <w:tcPr>
            <w:tcW w:w="5807" w:type="dxa"/>
          </w:tcPr>
          <w:p w:rsidR="00875B06" w:rsidRPr="00D70F0D" w:rsidRDefault="00875B06" w:rsidP="00E22E4A">
            <w:pPr>
              <w:spacing w:line="312" w:lineRule="auto"/>
              <w:jc w:val="both"/>
              <w:rPr>
                <w:rFonts w:ascii="Book Antiqua" w:hAnsi="Book Antiqua"/>
                <w:lang w:val="en-GB"/>
              </w:rPr>
            </w:pPr>
            <w:r w:rsidRPr="00D70F0D">
              <w:rPr>
                <w:rFonts w:ascii="Book Antiqua" w:hAnsi="Book Antiqua"/>
                <w:lang w:val="en-GB"/>
              </w:rPr>
              <w:t xml:space="preserve">LESS: Sale of Power to GUVNL </w:t>
            </w:r>
          </w:p>
        </w:tc>
        <w:tc>
          <w:tcPr>
            <w:tcW w:w="2552" w:type="dxa"/>
            <w:shd w:val="clear" w:color="auto" w:fill="auto"/>
          </w:tcPr>
          <w:p w:rsidR="00875B06" w:rsidRPr="00D70F0D" w:rsidRDefault="00875B06" w:rsidP="00E22E4A">
            <w:pPr>
              <w:spacing w:line="312" w:lineRule="auto"/>
              <w:jc w:val="both"/>
              <w:rPr>
                <w:rFonts w:ascii="Book Antiqua" w:hAnsi="Book Antiqua"/>
                <w:lang w:val="en-GB"/>
              </w:rPr>
            </w:pPr>
            <w:r w:rsidRPr="00D70F0D">
              <w:rPr>
                <w:rFonts w:ascii="Book Antiqua" w:hAnsi="Book Antiqua"/>
                <w:lang w:val="en-GB"/>
              </w:rPr>
              <w:t>(0.76)</w:t>
            </w:r>
          </w:p>
        </w:tc>
      </w:tr>
      <w:tr w:rsidR="00875B06" w:rsidRPr="00D70F0D" w:rsidTr="00D70F0D">
        <w:trPr>
          <w:trHeight w:val="383"/>
          <w:jc w:val="center"/>
        </w:trPr>
        <w:tc>
          <w:tcPr>
            <w:tcW w:w="5807" w:type="dxa"/>
          </w:tcPr>
          <w:p w:rsidR="00875B06" w:rsidRPr="00D70F0D" w:rsidRDefault="00875B06" w:rsidP="00E22E4A">
            <w:pPr>
              <w:spacing w:line="312" w:lineRule="auto"/>
              <w:jc w:val="both"/>
              <w:rPr>
                <w:rFonts w:ascii="Book Antiqua" w:hAnsi="Book Antiqua"/>
                <w:lang w:val="en-GB"/>
              </w:rPr>
            </w:pPr>
            <w:r w:rsidRPr="00D70F0D">
              <w:rPr>
                <w:rFonts w:ascii="Book Antiqua" w:hAnsi="Book Antiqua"/>
                <w:lang w:val="en-GB"/>
              </w:rPr>
              <w:t>LESS: DSM Charges Income (UI)</w:t>
            </w:r>
          </w:p>
        </w:tc>
        <w:tc>
          <w:tcPr>
            <w:tcW w:w="2552" w:type="dxa"/>
            <w:shd w:val="clear" w:color="auto" w:fill="auto"/>
          </w:tcPr>
          <w:p w:rsidR="00875B06" w:rsidRPr="00D70F0D" w:rsidRDefault="00875B06" w:rsidP="00E22E4A">
            <w:pPr>
              <w:spacing w:line="312" w:lineRule="auto"/>
              <w:jc w:val="both"/>
              <w:rPr>
                <w:rFonts w:ascii="Book Antiqua" w:hAnsi="Book Antiqua"/>
                <w:lang w:val="en-GB"/>
              </w:rPr>
            </w:pPr>
            <w:r w:rsidRPr="00D70F0D">
              <w:rPr>
                <w:rFonts w:ascii="Book Antiqua" w:hAnsi="Book Antiqua"/>
                <w:lang w:val="en-GB"/>
              </w:rPr>
              <w:t>(139.65)</w:t>
            </w:r>
          </w:p>
        </w:tc>
      </w:tr>
      <w:tr w:rsidR="00875B06" w:rsidRPr="00D70F0D" w:rsidTr="00D70F0D">
        <w:trPr>
          <w:trHeight w:val="366"/>
          <w:jc w:val="center"/>
        </w:trPr>
        <w:tc>
          <w:tcPr>
            <w:tcW w:w="5807" w:type="dxa"/>
          </w:tcPr>
          <w:p w:rsidR="00875B06" w:rsidRPr="00D70F0D" w:rsidRDefault="00875B06" w:rsidP="00E22E4A">
            <w:pPr>
              <w:spacing w:line="312" w:lineRule="auto"/>
              <w:jc w:val="both"/>
              <w:rPr>
                <w:rFonts w:ascii="Book Antiqua" w:hAnsi="Book Antiqua"/>
                <w:b/>
                <w:bCs/>
                <w:lang w:val="en-GB"/>
              </w:rPr>
            </w:pPr>
            <w:r w:rsidRPr="00D70F0D">
              <w:rPr>
                <w:rFonts w:ascii="Book Antiqua" w:hAnsi="Book Antiqua"/>
                <w:b/>
                <w:bCs/>
                <w:lang w:val="en-GB"/>
              </w:rPr>
              <w:t>Total Revenue as shown in Table 37</w:t>
            </w:r>
          </w:p>
        </w:tc>
        <w:tc>
          <w:tcPr>
            <w:tcW w:w="2552" w:type="dxa"/>
            <w:shd w:val="clear" w:color="auto" w:fill="auto"/>
          </w:tcPr>
          <w:p w:rsidR="00875B06" w:rsidRPr="00D70F0D" w:rsidRDefault="00875B06" w:rsidP="00E22E4A">
            <w:pPr>
              <w:spacing w:line="312" w:lineRule="auto"/>
              <w:jc w:val="both"/>
              <w:rPr>
                <w:rFonts w:ascii="Book Antiqua" w:hAnsi="Book Antiqua"/>
                <w:b/>
                <w:bCs/>
                <w:lang w:val="en-GB"/>
              </w:rPr>
            </w:pPr>
            <w:r w:rsidRPr="00D70F0D">
              <w:rPr>
                <w:rFonts w:ascii="Book Antiqua" w:hAnsi="Book Antiqua"/>
                <w:b/>
                <w:bCs/>
                <w:lang w:val="en-GB"/>
              </w:rPr>
              <w:t>12,014.87</w:t>
            </w:r>
          </w:p>
        </w:tc>
      </w:tr>
    </w:tbl>
    <w:p w:rsidR="00381DE4" w:rsidRDefault="00381DE4" w:rsidP="005C597E">
      <w:pPr>
        <w:spacing w:after="240" w:line="276" w:lineRule="auto"/>
        <w:ind w:left="630"/>
        <w:jc w:val="both"/>
        <w:rPr>
          <w:rFonts w:ascii="Book Antiqua" w:hAnsi="Book Antiqua"/>
          <w:color w:val="000000"/>
        </w:rPr>
      </w:pPr>
    </w:p>
    <w:p w:rsidR="00875B06" w:rsidRPr="005C597E" w:rsidRDefault="00875B06" w:rsidP="005C597E">
      <w:pPr>
        <w:spacing w:after="240" w:line="276" w:lineRule="auto"/>
        <w:ind w:left="630"/>
        <w:jc w:val="both"/>
        <w:rPr>
          <w:rFonts w:ascii="Book Antiqua" w:hAnsi="Book Antiqua"/>
          <w:color w:val="000000"/>
        </w:rPr>
      </w:pPr>
      <w:r w:rsidRPr="005C597E">
        <w:rPr>
          <w:rFonts w:ascii="Book Antiqua" w:hAnsi="Book Antiqua"/>
          <w:color w:val="000000"/>
        </w:rPr>
        <w:t xml:space="preserve">UGVCL has claimed Rs. 120.80 Crore of (Other Income Consumer Related) after excluding Rs. 28.01 Crore ‘Delayed payment charges from consumer’. In addition, UGVCL has also gained Revenue of Rs. 540.68 Crore from ‘agriculture subsidy’ accounted under Rs. 689.50 Crore of ‘Other Operating Revenue’. </w:t>
      </w:r>
    </w:p>
    <w:p w:rsidR="00875B06" w:rsidRDefault="00875B06" w:rsidP="005C597E">
      <w:pPr>
        <w:spacing w:after="240" w:line="276" w:lineRule="auto"/>
        <w:ind w:left="630"/>
        <w:jc w:val="both"/>
        <w:rPr>
          <w:rFonts w:ascii="Book Antiqua" w:hAnsi="Book Antiqua"/>
          <w:color w:val="000000"/>
        </w:rPr>
      </w:pPr>
      <w:r w:rsidRPr="005C597E">
        <w:rPr>
          <w:rFonts w:ascii="Book Antiqua" w:hAnsi="Book Antiqua"/>
          <w:color w:val="000000"/>
        </w:rPr>
        <w:t>Revenue of Rs. 0.76 Crore &amp; Rs. 139.65 Crore from the ‘Sale of Power to GUVNL’ &amp; ‘DSM Charges Income’ respectively has been reduced from the Power Purchase cost of UGVCL to determine the Net Power Purchase Cost.</w:t>
      </w:r>
    </w:p>
    <w:p w:rsidR="00B9383C" w:rsidRPr="00FE7AAA" w:rsidRDefault="00B9383C" w:rsidP="005C597E">
      <w:pPr>
        <w:spacing w:after="240" w:line="276" w:lineRule="auto"/>
        <w:ind w:left="630"/>
        <w:jc w:val="both"/>
        <w:rPr>
          <w:rFonts w:ascii="Book Antiqua" w:hAnsi="Book Antiqua"/>
          <w:color w:val="000000"/>
        </w:rPr>
      </w:pPr>
    </w:p>
    <w:p w:rsidR="00D20D68" w:rsidRPr="000357FD" w:rsidRDefault="00D20D68" w:rsidP="002E189D">
      <w:pPr>
        <w:numPr>
          <w:ilvl w:val="0"/>
          <w:numId w:val="9"/>
        </w:numPr>
        <w:spacing w:after="240" w:line="276" w:lineRule="auto"/>
        <w:ind w:left="630" w:hanging="357"/>
        <w:jc w:val="both"/>
        <w:rPr>
          <w:b/>
          <w:bCs/>
          <w:color w:val="000000"/>
        </w:rPr>
      </w:pPr>
      <w:r w:rsidRPr="000357FD">
        <w:rPr>
          <w:rFonts w:ascii="Book Antiqua" w:hAnsi="Book Antiqua"/>
          <w:b/>
          <w:bCs/>
          <w:color w:val="000000"/>
        </w:rPr>
        <w:t>UGVCL should reconcile the Other Income as reflecting in Audited Accounts against the amount claimed in Truing-up Petition (Rs. 120.80 Crore) under the head Other Income (Consumer related) in Table 37.</w:t>
      </w:r>
    </w:p>
    <w:p w:rsidR="00381DE4" w:rsidRPr="000357FD" w:rsidRDefault="00381DE4" w:rsidP="005C597E">
      <w:pPr>
        <w:spacing w:after="240"/>
        <w:ind w:left="142"/>
        <w:jc w:val="both"/>
        <w:rPr>
          <w:rFonts w:ascii="Book Antiqua" w:hAnsi="Book Antiqua"/>
          <w:b/>
          <w:bCs/>
          <w:color w:val="000000"/>
        </w:rPr>
      </w:pPr>
      <w:r w:rsidRPr="000357FD">
        <w:rPr>
          <w:rFonts w:ascii="Book Antiqua" w:hAnsi="Book Antiqua"/>
          <w:b/>
          <w:bCs/>
          <w:color w:val="000000"/>
        </w:rPr>
        <w:t>Compliance: -</w:t>
      </w:r>
    </w:p>
    <w:p w:rsidR="00303532" w:rsidRPr="007D4215" w:rsidRDefault="00B35C90" w:rsidP="005C597E">
      <w:pPr>
        <w:spacing w:after="240" w:line="276" w:lineRule="auto"/>
        <w:ind w:left="709"/>
        <w:jc w:val="both"/>
        <w:rPr>
          <w:rFonts w:ascii="Book Antiqua" w:hAnsi="Book Antiqua"/>
          <w:color w:val="000000"/>
        </w:rPr>
      </w:pPr>
      <w:r w:rsidRPr="00122943">
        <w:rPr>
          <w:rFonts w:ascii="Book Antiqua" w:hAnsi="Book Antiqua"/>
          <w:lang w:val="en-GB"/>
        </w:rPr>
        <w:t>Other Income Consumer related claimed in the petition is accounted under ‘Other Operating Income’ in Note 2</w:t>
      </w:r>
      <w:r>
        <w:rPr>
          <w:rFonts w:ascii="Book Antiqua" w:hAnsi="Book Antiqua"/>
          <w:lang w:val="en-GB"/>
        </w:rPr>
        <w:t>7. ‘Other Income’ in Note 28 is accounted primarily under ‘Non-Tariff Income’</w:t>
      </w:r>
      <w:r w:rsidRPr="00122943">
        <w:rPr>
          <w:rFonts w:ascii="Book Antiqua" w:hAnsi="Book Antiqua"/>
          <w:lang w:val="en-GB"/>
        </w:rPr>
        <w:t>.</w:t>
      </w:r>
      <w:r w:rsidR="00303532" w:rsidRPr="007D4215">
        <w:rPr>
          <w:rFonts w:ascii="Book Antiqua" w:hAnsi="Book Antiqua"/>
          <w:color w:val="000000"/>
        </w:rPr>
        <w:t>Rs. 120.80 Crore of claimed in Truing-up under head of Other Consumer Related Income is as follows:</w:t>
      </w:r>
    </w:p>
    <w:tbl>
      <w:tblPr>
        <w:tblStyle w:val="TableGrid"/>
        <w:tblW w:w="0" w:type="auto"/>
        <w:jc w:val="center"/>
        <w:tblLook w:val="04A0"/>
      </w:tblPr>
      <w:tblGrid>
        <w:gridCol w:w="6336"/>
        <w:gridCol w:w="2390"/>
      </w:tblGrid>
      <w:tr w:rsidR="00303532" w:rsidRPr="002A7580" w:rsidTr="002A7580">
        <w:trPr>
          <w:trHeight w:val="369"/>
          <w:jc w:val="center"/>
        </w:trPr>
        <w:tc>
          <w:tcPr>
            <w:tcW w:w="6336" w:type="dxa"/>
            <w:shd w:val="clear" w:color="auto" w:fill="FABF8F" w:themeFill="accent6" w:themeFillTint="99"/>
          </w:tcPr>
          <w:p w:rsidR="00303532" w:rsidRPr="002A7580" w:rsidRDefault="00303532" w:rsidP="005269C9">
            <w:pPr>
              <w:spacing w:line="312" w:lineRule="auto"/>
              <w:jc w:val="both"/>
              <w:rPr>
                <w:rFonts w:ascii="Book Antiqua" w:hAnsi="Book Antiqua"/>
                <w:lang w:val="en-GB"/>
              </w:rPr>
            </w:pPr>
            <w:r w:rsidRPr="002A7580">
              <w:rPr>
                <w:rFonts w:ascii="Book Antiqua" w:hAnsi="Book Antiqua"/>
                <w:b/>
                <w:bCs/>
                <w:lang w:val="en-GB"/>
              </w:rPr>
              <w:t>Particulars</w:t>
            </w:r>
          </w:p>
        </w:tc>
        <w:tc>
          <w:tcPr>
            <w:tcW w:w="2390" w:type="dxa"/>
            <w:shd w:val="clear" w:color="auto" w:fill="FABF8F" w:themeFill="accent6" w:themeFillTint="99"/>
          </w:tcPr>
          <w:p w:rsidR="00303532" w:rsidRPr="002A7580" w:rsidRDefault="00303532" w:rsidP="005269C9">
            <w:pPr>
              <w:spacing w:line="312" w:lineRule="auto"/>
              <w:jc w:val="both"/>
              <w:rPr>
                <w:rFonts w:ascii="Book Antiqua" w:hAnsi="Book Antiqua"/>
                <w:lang w:val="en-GB"/>
              </w:rPr>
            </w:pPr>
            <w:r w:rsidRPr="002A7580">
              <w:rPr>
                <w:rFonts w:ascii="Book Antiqua" w:hAnsi="Book Antiqua"/>
                <w:b/>
                <w:bCs/>
                <w:lang w:val="en-GB"/>
              </w:rPr>
              <w:t xml:space="preserve">Amount (Rs. </w:t>
            </w:r>
            <w:r w:rsidR="005269C9" w:rsidRPr="002A7580">
              <w:rPr>
                <w:rFonts w:ascii="Book Antiqua" w:hAnsi="Book Antiqua"/>
                <w:b/>
                <w:bCs/>
                <w:lang w:val="en-GB"/>
              </w:rPr>
              <w:t>Crore</w:t>
            </w:r>
            <w:r w:rsidRPr="002A7580">
              <w:rPr>
                <w:rFonts w:ascii="Book Antiqua" w:hAnsi="Book Antiqua"/>
                <w:b/>
                <w:bCs/>
                <w:lang w:val="en-GB"/>
              </w:rPr>
              <w:t>)</w:t>
            </w:r>
          </w:p>
        </w:tc>
      </w:tr>
      <w:tr w:rsidR="005269C9" w:rsidRPr="002A7580" w:rsidTr="002A7580">
        <w:trPr>
          <w:trHeight w:val="353"/>
          <w:jc w:val="center"/>
        </w:trPr>
        <w:tc>
          <w:tcPr>
            <w:tcW w:w="6336" w:type="dxa"/>
          </w:tcPr>
          <w:p w:rsidR="005269C9" w:rsidRPr="002A7580" w:rsidRDefault="005269C9" w:rsidP="005269C9">
            <w:pPr>
              <w:spacing w:line="312" w:lineRule="auto"/>
              <w:jc w:val="both"/>
              <w:rPr>
                <w:rFonts w:ascii="Book Antiqua" w:hAnsi="Book Antiqua"/>
                <w:lang w:val="en-GB"/>
              </w:rPr>
            </w:pPr>
            <w:r w:rsidRPr="002A7580">
              <w:rPr>
                <w:rFonts w:ascii="Book Antiqua" w:hAnsi="Book Antiqua"/>
              </w:rPr>
              <w:t>Meter Charges / Service line charges</w:t>
            </w:r>
          </w:p>
        </w:tc>
        <w:tc>
          <w:tcPr>
            <w:tcW w:w="2390" w:type="dxa"/>
            <w:shd w:val="clear" w:color="auto" w:fill="auto"/>
          </w:tcPr>
          <w:p w:rsidR="005269C9" w:rsidRPr="002A7580" w:rsidRDefault="005269C9" w:rsidP="005269C9">
            <w:pPr>
              <w:spacing w:line="312" w:lineRule="auto"/>
              <w:jc w:val="both"/>
              <w:rPr>
                <w:rFonts w:ascii="Book Antiqua" w:hAnsi="Book Antiqua"/>
                <w:lang w:val="en-GB"/>
              </w:rPr>
            </w:pPr>
            <w:r w:rsidRPr="002A7580">
              <w:rPr>
                <w:rFonts w:ascii="Book Antiqua" w:hAnsi="Book Antiqua"/>
              </w:rPr>
              <w:t xml:space="preserve"> -   </w:t>
            </w:r>
          </w:p>
        </w:tc>
      </w:tr>
      <w:tr w:rsidR="005269C9" w:rsidRPr="002A7580" w:rsidTr="002A7580">
        <w:trPr>
          <w:trHeight w:val="369"/>
          <w:jc w:val="center"/>
        </w:trPr>
        <w:tc>
          <w:tcPr>
            <w:tcW w:w="6336" w:type="dxa"/>
          </w:tcPr>
          <w:p w:rsidR="005269C9" w:rsidRPr="002A7580" w:rsidRDefault="005269C9" w:rsidP="005269C9">
            <w:pPr>
              <w:spacing w:line="312" w:lineRule="auto"/>
              <w:jc w:val="both"/>
              <w:rPr>
                <w:rFonts w:ascii="Book Antiqua" w:hAnsi="Book Antiqua"/>
                <w:lang w:val="en-GB"/>
              </w:rPr>
            </w:pPr>
            <w:r w:rsidRPr="002A7580">
              <w:rPr>
                <w:rFonts w:ascii="Book Antiqua" w:hAnsi="Book Antiqua"/>
              </w:rPr>
              <w:lastRenderedPageBreak/>
              <w:t>Recoveries for theft of power / Malpractices</w:t>
            </w:r>
          </w:p>
        </w:tc>
        <w:tc>
          <w:tcPr>
            <w:tcW w:w="2390" w:type="dxa"/>
            <w:shd w:val="clear" w:color="auto" w:fill="auto"/>
          </w:tcPr>
          <w:p w:rsidR="005269C9" w:rsidRPr="002A7580" w:rsidRDefault="005269C9" w:rsidP="005269C9">
            <w:pPr>
              <w:spacing w:line="312" w:lineRule="auto"/>
              <w:jc w:val="both"/>
              <w:rPr>
                <w:rFonts w:ascii="Book Antiqua" w:hAnsi="Book Antiqua"/>
                <w:lang w:val="en-GB"/>
              </w:rPr>
            </w:pPr>
            <w:r w:rsidRPr="002A7580">
              <w:rPr>
                <w:rFonts w:ascii="Book Antiqua" w:hAnsi="Book Antiqua"/>
              </w:rPr>
              <w:t xml:space="preserve"> 16.95 </w:t>
            </w:r>
          </w:p>
        </w:tc>
      </w:tr>
      <w:tr w:rsidR="005269C9" w:rsidRPr="002A7580" w:rsidTr="002A7580">
        <w:trPr>
          <w:trHeight w:val="353"/>
          <w:jc w:val="center"/>
        </w:trPr>
        <w:tc>
          <w:tcPr>
            <w:tcW w:w="6336" w:type="dxa"/>
          </w:tcPr>
          <w:p w:rsidR="005269C9" w:rsidRPr="002A7580" w:rsidRDefault="005269C9" w:rsidP="005269C9">
            <w:pPr>
              <w:spacing w:line="312" w:lineRule="auto"/>
              <w:jc w:val="both"/>
              <w:rPr>
                <w:rFonts w:ascii="Book Antiqua" w:hAnsi="Book Antiqua"/>
                <w:lang w:val="en-GB"/>
              </w:rPr>
            </w:pPr>
            <w:r w:rsidRPr="002A7580">
              <w:rPr>
                <w:rFonts w:ascii="Book Antiqua" w:hAnsi="Book Antiqua"/>
              </w:rPr>
              <w:t xml:space="preserve">Wheeling Charges Recoveries </w:t>
            </w:r>
          </w:p>
        </w:tc>
        <w:tc>
          <w:tcPr>
            <w:tcW w:w="2390" w:type="dxa"/>
            <w:shd w:val="clear" w:color="auto" w:fill="auto"/>
          </w:tcPr>
          <w:p w:rsidR="005269C9" w:rsidRPr="002A7580" w:rsidRDefault="005269C9" w:rsidP="005269C9">
            <w:pPr>
              <w:spacing w:line="312" w:lineRule="auto"/>
              <w:jc w:val="both"/>
              <w:rPr>
                <w:rFonts w:ascii="Book Antiqua" w:hAnsi="Book Antiqua"/>
                <w:lang w:val="en-GB"/>
              </w:rPr>
            </w:pPr>
            <w:r w:rsidRPr="002A7580">
              <w:rPr>
                <w:rFonts w:ascii="Book Antiqua" w:hAnsi="Book Antiqua"/>
              </w:rPr>
              <w:t xml:space="preserve"> 0.06 </w:t>
            </w:r>
          </w:p>
        </w:tc>
      </w:tr>
      <w:tr w:rsidR="005269C9" w:rsidRPr="002A7580" w:rsidTr="002A7580">
        <w:trPr>
          <w:trHeight w:val="369"/>
          <w:jc w:val="center"/>
        </w:trPr>
        <w:tc>
          <w:tcPr>
            <w:tcW w:w="6336" w:type="dxa"/>
          </w:tcPr>
          <w:p w:rsidR="005269C9" w:rsidRPr="002A7580" w:rsidRDefault="005269C9" w:rsidP="005269C9">
            <w:pPr>
              <w:spacing w:line="312" w:lineRule="auto"/>
              <w:jc w:val="both"/>
              <w:rPr>
                <w:rFonts w:ascii="Book Antiqua" w:hAnsi="Book Antiqua"/>
              </w:rPr>
            </w:pPr>
            <w:r w:rsidRPr="002A7580">
              <w:rPr>
                <w:rFonts w:ascii="Book Antiqua" w:hAnsi="Book Antiqua"/>
              </w:rPr>
              <w:t>Cross Subsidy Surcharge</w:t>
            </w:r>
          </w:p>
        </w:tc>
        <w:tc>
          <w:tcPr>
            <w:tcW w:w="2390" w:type="dxa"/>
            <w:shd w:val="clear" w:color="auto" w:fill="auto"/>
          </w:tcPr>
          <w:p w:rsidR="005269C9" w:rsidRPr="002A7580" w:rsidRDefault="005269C9" w:rsidP="005269C9">
            <w:pPr>
              <w:spacing w:line="312" w:lineRule="auto"/>
              <w:jc w:val="both"/>
              <w:rPr>
                <w:rFonts w:ascii="Book Antiqua" w:hAnsi="Book Antiqua"/>
                <w:lang w:val="en-GB"/>
              </w:rPr>
            </w:pPr>
            <w:r w:rsidRPr="002A7580">
              <w:rPr>
                <w:rFonts w:ascii="Book Antiqua" w:hAnsi="Book Antiqua"/>
              </w:rPr>
              <w:t xml:space="preserve"> 13.71 </w:t>
            </w:r>
          </w:p>
        </w:tc>
      </w:tr>
      <w:tr w:rsidR="005269C9" w:rsidRPr="002A7580" w:rsidTr="002A7580">
        <w:trPr>
          <w:trHeight w:val="369"/>
          <w:jc w:val="center"/>
        </w:trPr>
        <w:tc>
          <w:tcPr>
            <w:tcW w:w="6336" w:type="dxa"/>
          </w:tcPr>
          <w:p w:rsidR="005269C9" w:rsidRPr="002A7580" w:rsidRDefault="005269C9" w:rsidP="005269C9">
            <w:pPr>
              <w:spacing w:line="312" w:lineRule="auto"/>
              <w:jc w:val="both"/>
              <w:rPr>
                <w:rFonts w:ascii="Book Antiqua" w:hAnsi="Book Antiqua"/>
              </w:rPr>
            </w:pPr>
            <w:r w:rsidRPr="002A7580">
              <w:rPr>
                <w:rFonts w:ascii="Book Antiqua" w:hAnsi="Book Antiqua"/>
              </w:rPr>
              <w:t>Addl. Surcharge</w:t>
            </w:r>
          </w:p>
        </w:tc>
        <w:tc>
          <w:tcPr>
            <w:tcW w:w="2390" w:type="dxa"/>
            <w:shd w:val="clear" w:color="auto" w:fill="auto"/>
          </w:tcPr>
          <w:p w:rsidR="005269C9" w:rsidRPr="002A7580" w:rsidRDefault="005269C9" w:rsidP="005269C9">
            <w:pPr>
              <w:spacing w:line="312" w:lineRule="auto"/>
              <w:jc w:val="both"/>
              <w:rPr>
                <w:rFonts w:ascii="Book Antiqua" w:hAnsi="Book Antiqua"/>
                <w:lang w:val="en-GB"/>
              </w:rPr>
            </w:pPr>
            <w:r w:rsidRPr="002A7580">
              <w:rPr>
                <w:rFonts w:ascii="Book Antiqua" w:hAnsi="Book Antiqua"/>
              </w:rPr>
              <w:t xml:space="preserve"> 6.63 </w:t>
            </w:r>
          </w:p>
        </w:tc>
      </w:tr>
      <w:tr w:rsidR="005269C9" w:rsidRPr="002A7580" w:rsidTr="002A7580">
        <w:trPr>
          <w:trHeight w:val="369"/>
          <w:jc w:val="center"/>
        </w:trPr>
        <w:tc>
          <w:tcPr>
            <w:tcW w:w="6336" w:type="dxa"/>
          </w:tcPr>
          <w:p w:rsidR="005269C9" w:rsidRPr="002A7580" w:rsidRDefault="005269C9" w:rsidP="005269C9">
            <w:pPr>
              <w:spacing w:line="312" w:lineRule="auto"/>
              <w:jc w:val="both"/>
              <w:rPr>
                <w:rFonts w:ascii="Book Antiqua" w:hAnsi="Book Antiqua"/>
              </w:rPr>
            </w:pPr>
            <w:r w:rsidRPr="002A7580">
              <w:rPr>
                <w:rFonts w:ascii="Book Antiqua" w:hAnsi="Book Antiqua"/>
              </w:rPr>
              <w:t>Miscellaneous Charges from Consumers</w:t>
            </w:r>
          </w:p>
        </w:tc>
        <w:tc>
          <w:tcPr>
            <w:tcW w:w="2390" w:type="dxa"/>
            <w:shd w:val="clear" w:color="auto" w:fill="auto"/>
          </w:tcPr>
          <w:p w:rsidR="005269C9" w:rsidRPr="002A7580" w:rsidRDefault="005269C9" w:rsidP="005269C9">
            <w:pPr>
              <w:spacing w:line="312" w:lineRule="auto"/>
              <w:jc w:val="both"/>
              <w:rPr>
                <w:rFonts w:ascii="Book Antiqua" w:hAnsi="Book Antiqua"/>
                <w:lang w:val="en-GB"/>
              </w:rPr>
            </w:pPr>
            <w:r w:rsidRPr="002A7580">
              <w:rPr>
                <w:rFonts w:ascii="Book Antiqua" w:hAnsi="Book Antiqua"/>
              </w:rPr>
              <w:t xml:space="preserve"> 83.45 </w:t>
            </w:r>
          </w:p>
        </w:tc>
      </w:tr>
      <w:tr w:rsidR="00303532" w:rsidRPr="002A7580" w:rsidTr="002A7580">
        <w:trPr>
          <w:trHeight w:val="353"/>
          <w:jc w:val="center"/>
        </w:trPr>
        <w:tc>
          <w:tcPr>
            <w:tcW w:w="6336" w:type="dxa"/>
          </w:tcPr>
          <w:p w:rsidR="00303532" w:rsidRPr="002A7580" w:rsidRDefault="005269C9" w:rsidP="005269C9">
            <w:pPr>
              <w:spacing w:line="312" w:lineRule="auto"/>
              <w:jc w:val="both"/>
              <w:rPr>
                <w:rFonts w:ascii="Book Antiqua" w:hAnsi="Book Antiqua"/>
                <w:b/>
                <w:bCs/>
                <w:lang w:val="en-GB"/>
              </w:rPr>
            </w:pPr>
            <w:r w:rsidRPr="002A7580">
              <w:rPr>
                <w:rFonts w:ascii="Book Antiqua" w:hAnsi="Book Antiqua"/>
                <w:b/>
                <w:bCs/>
                <w:lang w:val="en-GB"/>
              </w:rPr>
              <w:t xml:space="preserve">Other Consumer related Income </w:t>
            </w:r>
            <w:r w:rsidR="00303532" w:rsidRPr="002A7580">
              <w:rPr>
                <w:rFonts w:ascii="Book Antiqua" w:hAnsi="Book Antiqua"/>
                <w:b/>
                <w:bCs/>
                <w:lang w:val="en-GB"/>
              </w:rPr>
              <w:t>as shown in Table 37</w:t>
            </w:r>
          </w:p>
        </w:tc>
        <w:tc>
          <w:tcPr>
            <w:tcW w:w="2390" w:type="dxa"/>
            <w:shd w:val="clear" w:color="auto" w:fill="auto"/>
          </w:tcPr>
          <w:p w:rsidR="00303532" w:rsidRPr="002A7580" w:rsidRDefault="00303532" w:rsidP="005269C9">
            <w:pPr>
              <w:spacing w:line="312" w:lineRule="auto"/>
              <w:jc w:val="both"/>
              <w:rPr>
                <w:rFonts w:ascii="Book Antiqua" w:hAnsi="Book Antiqua"/>
                <w:b/>
                <w:bCs/>
                <w:lang w:val="en-GB"/>
              </w:rPr>
            </w:pPr>
            <w:r w:rsidRPr="002A7580">
              <w:rPr>
                <w:rFonts w:ascii="Book Antiqua" w:hAnsi="Book Antiqua"/>
                <w:b/>
                <w:bCs/>
                <w:lang w:val="en-GB"/>
              </w:rPr>
              <w:t>120.8</w:t>
            </w:r>
            <w:r w:rsidR="00875B06" w:rsidRPr="002A7580">
              <w:rPr>
                <w:rFonts w:ascii="Book Antiqua" w:hAnsi="Book Antiqua"/>
                <w:b/>
                <w:bCs/>
                <w:lang w:val="en-GB"/>
              </w:rPr>
              <w:t>0</w:t>
            </w:r>
          </w:p>
        </w:tc>
      </w:tr>
    </w:tbl>
    <w:p w:rsidR="00F82199" w:rsidRPr="00D0291D" w:rsidRDefault="00CD3A26" w:rsidP="00F82199">
      <w:pPr>
        <w:spacing w:before="360" w:after="240" w:line="276" w:lineRule="auto"/>
        <w:ind w:left="714"/>
        <w:jc w:val="both"/>
        <w:rPr>
          <w:color w:val="000000"/>
        </w:rPr>
      </w:pPr>
      <w:r w:rsidRPr="00D0291D">
        <w:rPr>
          <w:color w:val="000000"/>
        </w:rPr>
        <w:t xml:space="preserve">Additionally, UGVCL submits that in Note 28 ‘Other Income’ in audited financial accounts, Miscellaneous Income of Rs. 47.70 Crore includes Rs. 20.55 Crore towards ‘Provision towards bad and doubtful debts no longer required’. </w:t>
      </w:r>
      <w:r w:rsidR="004F2F73" w:rsidRPr="00D0291D">
        <w:rPr>
          <w:color w:val="000000"/>
        </w:rPr>
        <w:t>Following paragraph explains philosophy for booking ‘Provision towards bad and doubtful debts no longer required’ as ‘Other Income’.</w:t>
      </w:r>
    </w:p>
    <w:p w:rsidR="004F2F73" w:rsidRPr="00D0291D" w:rsidRDefault="004F2F73" w:rsidP="00F82199">
      <w:pPr>
        <w:spacing w:before="360" w:after="240" w:line="276" w:lineRule="auto"/>
        <w:ind w:left="714"/>
        <w:jc w:val="both"/>
        <w:rPr>
          <w:color w:val="000000"/>
        </w:rPr>
      </w:pPr>
      <w:r w:rsidRPr="00D0291D">
        <w:rPr>
          <w:color w:val="000000"/>
        </w:rPr>
        <w:t xml:space="preserve">UGVCL books provision towards bad and doubtful debt as expense. Whenever any receivable is written off by utilizing this provision, there is corresponding reduction in outstanding provision. </w:t>
      </w:r>
      <w:r w:rsidR="00380EF0" w:rsidRPr="00D0291D">
        <w:rPr>
          <w:color w:val="000000"/>
        </w:rPr>
        <w:t>However, sometimes, the Discom manages to collect receivable against which expense was done by way of provision for bad and doubtful debt. In such case, the provision is no longer required and has to be reversed. Such reversal is done by way of booking ‘Provision towards bad and doubtful debts no longer required’ as ‘Other Income’. However, such booking is valid and necessary only if expense is booked corresponding to provision. As the Discom books provision as expense in audited accounts, this is valid as well as necessary. However, the Hon’ble Commission has not allowed provision against bad and doubtful debt as expense in ARR of previous years. Only actual bad and doubtful debts written off are considered in true-up of ARR of the previous years. Accordingly, there is no need to book ‘Provision towards bad and doubtful debts no longer required’ as ‘Other Income’.</w:t>
      </w:r>
    </w:p>
    <w:p w:rsidR="00380EF0" w:rsidRPr="00D0291D" w:rsidRDefault="00380EF0" w:rsidP="00F82199">
      <w:pPr>
        <w:spacing w:before="360" w:after="240" w:line="276" w:lineRule="auto"/>
        <w:ind w:left="714"/>
        <w:jc w:val="both"/>
        <w:rPr>
          <w:color w:val="000000"/>
        </w:rPr>
      </w:pPr>
      <w:r w:rsidRPr="00D0291D">
        <w:rPr>
          <w:color w:val="000000"/>
        </w:rPr>
        <w:t xml:space="preserve">Therefore, Non-Tariff Income considered for True-up of FY 2018-19 which includes miscellaneous income should be reduced by ‘Provision towards bad and doubtful debts no longer required’ for purpose of computation of ARR. </w:t>
      </w:r>
      <w:r w:rsidR="00954B9A" w:rsidRPr="00D0291D">
        <w:rPr>
          <w:color w:val="000000"/>
        </w:rPr>
        <w:t xml:space="preserve">This amount is Rs. 20.55 Crore. Even though it is not shown separately and is included in miscellaneous income, it can be shown to be equal to Rs. 20.55 Crore </w:t>
      </w:r>
      <w:r w:rsidR="004021E7" w:rsidRPr="00D0291D">
        <w:rPr>
          <w:color w:val="000000"/>
        </w:rPr>
        <w:t>by way of</w:t>
      </w:r>
      <w:r w:rsidR="00954B9A" w:rsidRPr="00D0291D">
        <w:rPr>
          <w:color w:val="000000"/>
        </w:rPr>
        <w:t xml:space="preserve"> tables below.</w:t>
      </w:r>
    </w:p>
    <w:p w:rsidR="00380EF0" w:rsidRPr="00D0291D" w:rsidRDefault="00954B9A" w:rsidP="00237BAE">
      <w:pPr>
        <w:spacing w:before="360" w:line="276" w:lineRule="auto"/>
        <w:ind w:left="714"/>
        <w:jc w:val="both"/>
        <w:rPr>
          <w:color w:val="000000"/>
        </w:rPr>
      </w:pPr>
      <w:r w:rsidRPr="00D0291D">
        <w:rPr>
          <w:color w:val="000000"/>
        </w:rPr>
        <w:t xml:space="preserve">As per Note 7 ‘Trade Receivables’ of audited accounts for FY 2018-19, </w:t>
      </w:r>
      <w:r w:rsidR="004021E7" w:rsidRPr="00D0291D">
        <w:rPr>
          <w:color w:val="000000"/>
        </w:rPr>
        <w:t xml:space="preserve">outstanding </w:t>
      </w:r>
      <w:r w:rsidRPr="00D0291D">
        <w:rPr>
          <w:color w:val="000000"/>
        </w:rPr>
        <w:t xml:space="preserve">provision for bad and doubtful debts </w:t>
      </w:r>
      <w:r w:rsidR="004021E7" w:rsidRPr="00D0291D">
        <w:rPr>
          <w:color w:val="000000"/>
        </w:rPr>
        <w:t>has increased by Rs. 49.13 lakh as shown in table below.</w:t>
      </w:r>
    </w:p>
    <w:p w:rsidR="00954B9A" w:rsidRPr="00D0291D" w:rsidRDefault="00954B9A" w:rsidP="00237BAE">
      <w:pPr>
        <w:spacing w:before="360" w:line="276" w:lineRule="auto"/>
        <w:ind w:left="714"/>
        <w:jc w:val="right"/>
        <w:rPr>
          <w:color w:val="000000"/>
        </w:rPr>
      </w:pPr>
      <w:r w:rsidRPr="00D0291D">
        <w:rPr>
          <w:color w:val="000000"/>
        </w:rPr>
        <w:t>(Rs. Lakh)</w:t>
      </w:r>
    </w:p>
    <w:tbl>
      <w:tblPr>
        <w:tblStyle w:val="TableGrid"/>
        <w:tblW w:w="0" w:type="auto"/>
        <w:tblInd w:w="714" w:type="dxa"/>
        <w:tblLook w:val="04A0"/>
      </w:tblPr>
      <w:tblGrid>
        <w:gridCol w:w="6652"/>
        <w:gridCol w:w="1418"/>
        <w:gridCol w:w="1672"/>
      </w:tblGrid>
      <w:tr w:rsidR="00954B9A" w:rsidRPr="00D0291D" w:rsidTr="00237BAE">
        <w:tc>
          <w:tcPr>
            <w:tcW w:w="6652" w:type="dxa"/>
            <w:shd w:val="clear" w:color="auto" w:fill="FABF8F" w:themeFill="accent6" w:themeFillTint="99"/>
          </w:tcPr>
          <w:p w:rsidR="00954B9A" w:rsidRPr="00D0291D" w:rsidRDefault="00954B9A" w:rsidP="00237BAE">
            <w:pPr>
              <w:spacing w:line="276" w:lineRule="auto"/>
              <w:jc w:val="center"/>
              <w:rPr>
                <w:b/>
                <w:bCs/>
                <w:color w:val="000000"/>
              </w:rPr>
            </w:pPr>
            <w:r w:rsidRPr="00D0291D">
              <w:rPr>
                <w:b/>
                <w:bCs/>
                <w:color w:val="000000"/>
              </w:rPr>
              <w:t>Particulars</w:t>
            </w:r>
          </w:p>
        </w:tc>
        <w:tc>
          <w:tcPr>
            <w:tcW w:w="1418" w:type="dxa"/>
            <w:shd w:val="clear" w:color="auto" w:fill="FABF8F" w:themeFill="accent6" w:themeFillTint="99"/>
          </w:tcPr>
          <w:p w:rsidR="00954B9A" w:rsidRPr="00D0291D" w:rsidRDefault="00954B9A" w:rsidP="00237BAE">
            <w:pPr>
              <w:spacing w:line="276" w:lineRule="auto"/>
              <w:jc w:val="center"/>
              <w:rPr>
                <w:b/>
                <w:bCs/>
                <w:color w:val="000000"/>
              </w:rPr>
            </w:pPr>
            <w:r w:rsidRPr="00D0291D">
              <w:rPr>
                <w:b/>
                <w:bCs/>
                <w:color w:val="000000"/>
              </w:rPr>
              <w:t>FY 2018-19</w:t>
            </w:r>
          </w:p>
        </w:tc>
        <w:tc>
          <w:tcPr>
            <w:tcW w:w="1672" w:type="dxa"/>
            <w:shd w:val="clear" w:color="auto" w:fill="FABF8F" w:themeFill="accent6" w:themeFillTint="99"/>
          </w:tcPr>
          <w:p w:rsidR="00954B9A" w:rsidRPr="00D0291D" w:rsidRDefault="00954B9A" w:rsidP="00237BAE">
            <w:pPr>
              <w:spacing w:line="276" w:lineRule="auto"/>
              <w:jc w:val="center"/>
              <w:rPr>
                <w:b/>
                <w:bCs/>
                <w:color w:val="000000"/>
              </w:rPr>
            </w:pPr>
            <w:r w:rsidRPr="00D0291D">
              <w:rPr>
                <w:b/>
                <w:bCs/>
                <w:color w:val="000000"/>
              </w:rPr>
              <w:t>FY 2017-18</w:t>
            </w:r>
          </w:p>
        </w:tc>
      </w:tr>
      <w:tr w:rsidR="00954B9A" w:rsidRPr="00D0291D" w:rsidTr="00237BAE">
        <w:tc>
          <w:tcPr>
            <w:tcW w:w="6652" w:type="dxa"/>
          </w:tcPr>
          <w:p w:rsidR="00954B9A" w:rsidRPr="00D0291D" w:rsidRDefault="00954B9A" w:rsidP="00954B9A">
            <w:pPr>
              <w:spacing w:line="276" w:lineRule="auto"/>
              <w:jc w:val="both"/>
              <w:rPr>
                <w:color w:val="000000"/>
              </w:rPr>
            </w:pPr>
            <w:r w:rsidRPr="00D0291D">
              <w:rPr>
                <w:color w:val="000000"/>
              </w:rPr>
              <w:t xml:space="preserve">Allowance for bad and doubtful debts </w:t>
            </w:r>
          </w:p>
          <w:p w:rsidR="00954B9A" w:rsidRPr="00D0291D" w:rsidRDefault="00954B9A" w:rsidP="00237BAE">
            <w:pPr>
              <w:spacing w:line="276" w:lineRule="auto"/>
              <w:jc w:val="both"/>
              <w:rPr>
                <w:color w:val="000000"/>
              </w:rPr>
            </w:pPr>
            <w:r w:rsidRPr="00D0291D">
              <w:rPr>
                <w:color w:val="000000"/>
              </w:rPr>
              <w:t>(Unsecured Considered Good)</w:t>
            </w:r>
          </w:p>
        </w:tc>
        <w:tc>
          <w:tcPr>
            <w:tcW w:w="1418" w:type="dxa"/>
          </w:tcPr>
          <w:p w:rsidR="00954B9A" w:rsidRPr="00D0291D" w:rsidRDefault="00954B9A" w:rsidP="00237BAE">
            <w:pPr>
              <w:spacing w:line="276" w:lineRule="auto"/>
              <w:jc w:val="right"/>
              <w:rPr>
                <w:color w:val="000000"/>
              </w:rPr>
            </w:pPr>
            <w:r w:rsidRPr="00D0291D">
              <w:rPr>
                <w:color w:val="000000"/>
              </w:rPr>
              <w:t>3652.33</w:t>
            </w:r>
          </w:p>
        </w:tc>
        <w:tc>
          <w:tcPr>
            <w:tcW w:w="1672" w:type="dxa"/>
          </w:tcPr>
          <w:p w:rsidR="00954B9A" w:rsidRPr="00D0291D" w:rsidRDefault="00954B9A" w:rsidP="00237BAE">
            <w:pPr>
              <w:spacing w:line="276" w:lineRule="auto"/>
              <w:jc w:val="right"/>
              <w:rPr>
                <w:color w:val="000000"/>
              </w:rPr>
            </w:pPr>
            <w:r w:rsidRPr="00D0291D">
              <w:rPr>
                <w:color w:val="000000"/>
              </w:rPr>
              <w:t>1922.43</w:t>
            </w:r>
          </w:p>
        </w:tc>
      </w:tr>
      <w:tr w:rsidR="00954B9A" w:rsidRPr="00D0291D" w:rsidTr="00237BAE">
        <w:tc>
          <w:tcPr>
            <w:tcW w:w="6652" w:type="dxa"/>
          </w:tcPr>
          <w:p w:rsidR="00954B9A" w:rsidRPr="00D0291D" w:rsidRDefault="00954B9A" w:rsidP="00237BAE">
            <w:pPr>
              <w:spacing w:line="276" w:lineRule="auto"/>
              <w:jc w:val="both"/>
              <w:rPr>
                <w:color w:val="000000"/>
              </w:rPr>
            </w:pPr>
            <w:r w:rsidRPr="00D0291D">
              <w:rPr>
                <w:color w:val="000000"/>
              </w:rPr>
              <w:t>Allowance for bad and doubtful debts (Credit impaired)</w:t>
            </w:r>
          </w:p>
        </w:tc>
        <w:tc>
          <w:tcPr>
            <w:tcW w:w="1418" w:type="dxa"/>
          </w:tcPr>
          <w:p w:rsidR="00954B9A" w:rsidRPr="00D0291D" w:rsidRDefault="00954B9A" w:rsidP="00237BAE">
            <w:pPr>
              <w:spacing w:line="276" w:lineRule="auto"/>
              <w:jc w:val="right"/>
              <w:rPr>
                <w:color w:val="000000"/>
              </w:rPr>
            </w:pPr>
            <w:r w:rsidRPr="00D0291D">
              <w:rPr>
                <w:color w:val="000000"/>
              </w:rPr>
              <w:t>6085.08</w:t>
            </w:r>
          </w:p>
        </w:tc>
        <w:tc>
          <w:tcPr>
            <w:tcW w:w="1672" w:type="dxa"/>
          </w:tcPr>
          <w:p w:rsidR="00954B9A" w:rsidRPr="00D0291D" w:rsidRDefault="00954B9A" w:rsidP="00237BAE">
            <w:pPr>
              <w:spacing w:line="276" w:lineRule="auto"/>
              <w:jc w:val="right"/>
              <w:rPr>
                <w:color w:val="000000"/>
              </w:rPr>
            </w:pPr>
            <w:r w:rsidRPr="00D0291D">
              <w:rPr>
                <w:color w:val="000000"/>
              </w:rPr>
              <w:t>7765.85</w:t>
            </w:r>
          </w:p>
        </w:tc>
      </w:tr>
      <w:tr w:rsidR="00954B9A" w:rsidRPr="00D0291D" w:rsidTr="00237BAE">
        <w:tc>
          <w:tcPr>
            <w:tcW w:w="6652" w:type="dxa"/>
          </w:tcPr>
          <w:p w:rsidR="00954B9A" w:rsidRPr="00D0291D" w:rsidRDefault="00954B9A" w:rsidP="00237BAE">
            <w:pPr>
              <w:spacing w:line="276" w:lineRule="auto"/>
              <w:jc w:val="both"/>
              <w:rPr>
                <w:color w:val="000000"/>
              </w:rPr>
            </w:pPr>
            <w:r w:rsidRPr="00D0291D">
              <w:rPr>
                <w:color w:val="000000"/>
              </w:rPr>
              <w:t>Total cumulative provision for bad and doubtful debts</w:t>
            </w:r>
          </w:p>
        </w:tc>
        <w:tc>
          <w:tcPr>
            <w:tcW w:w="1418" w:type="dxa"/>
          </w:tcPr>
          <w:p w:rsidR="00954B9A" w:rsidRPr="00D0291D" w:rsidRDefault="00954B9A" w:rsidP="00237BAE">
            <w:pPr>
              <w:spacing w:line="276" w:lineRule="auto"/>
              <w:jc w:val="right"/>
              <w:rPr>
                <w:color w:val="000000"/>
              </w:rPr>
            </w:pPr>
            <w:r w:rsidRPr="00D0291D">
              <w:rPr>
                <w:color w:val="000000"/>
              </w:rPr>
              <w:t>9737.41</w:t>
            </w:r>
          </w:p>
        </w:tc>
        <w:tc>
          <w:tcPr>
            <w:tcW w:w="1672" w:type="dxa"/>
          </w:tcPr>
          <w:p w:rsidR="00954B9A" w:rsidRPr="00D0291D" w:rsidRDefault="00954B9A" w:rsidP="00237BAE">
            <w:pPr>
              <w:spacing w:line="276" w:lineRule="auto"/>
              <w:jc w:val="right"/>
              <w:rPr>
                <w:color w:val="000000"/>
              </w:rPr>
            </w:pPr>
            <w:r w:rsidRPr="00D0291D">
              <w:rPr>
                <w:color w:val="000000"/>
              </w:rPr>
              <w:t>9688.28</w:t>
            </w:r>
          </w:p>
        </w:tc>
      </w:tr>
      <w:tr w:rsidR="00954B9A" w:rsidRPr="00D0291D" w:rsidTr="005162A4">
        <w:tc>
          <w:tcPr>
            <w:tcW w:w="6652" w:type="dxa"/>
          </w:tcPr>
          <w:p w:rsidR="00954B9A" w:rsidRPr="00D0291D" w:rsidRDefault="00954B9A" w:rsidP="00954B9A">
            <w:pPr>
              <w:spacing w:line="276" w:lineRule="auto"/>
              <w:jc w:val="both"/>
              <w:rPr>
                <w:color w:val="000000"/>
              </w:rPr>
            </w:pPr>
            <w:r w:rsidRPr="00D0291D">
              <w:rPr>
                <w:color w:val="000000"/>
              </w:rPr>
              <w:t>Difference</w:t>
            </w:r>
          </w:p>
        </w:tc>
        <w:tc>
          <w:tcPr>
            <w:tcW w:w="3090" w:type="dxa"/>
            <w:gridSpan w:val="2"/>
          </w:tcPr>
          <w:p w:rsidR="00954B9A" w:rsidRPr="00D0291D" w:rsidRDefault="00954B9A" w:rsidP="00237BAE">
            <w:pPr>
              <w:spacing w:line="276" w:lineRule="auto"/>
              <w:jc w:val="center"/>
              <w:rPr>
                <w:color w:val="000000"/>
              </w:rPr>
            </w:pPr>
            <w:r w:rsidRPr="00D0291D">
              <w:rPr>
                <w:color w:val="000000"/>
              </w:rPr>
              <w:t>49.13</w:t>
            </w:r>
          </w:p>
        </w:tc>
      </w:tr>
    </w:tbl>
    <w:p w:rsidR="00954B9A" w:rsidRPr="00D0291D" w:rsidRDefault="004021E7" w:rsidP="00F82199">
      <w:pPr>
        <w:spacing w:before="360" w:after="240" w:line="276" w:lineRule="auto"/>
        <w:ind w:left="714"/>
        <w:jc w:val="both"/>
        <w:rPr>
          <w:color w:val="000000"/>
        </w:rPr>
      </w:pPr>
      <w:r w:rsidRPr="00D0291D">
        <w:rPr>
          <w:color w:val="000000"/>
        </w:rPr>
        <w:t>Increase is only Rs. 49.13 lakh in spite of provision for bad and doubtful debt being Rs. 2104.63 lakh as per Note 32 ‘Other Expenses’. The difference is attributed to ‘Provision No Longer Required’ of Rs. 2055.50 lakh as shown in table below.</w:t>
      </w:r>
    </w:p>
    <w:tbl>
      <w:tblPr>
        <w:tblStyle w:val="TableGrid"/>
        <w:tblW w:w="0" w:type="auto"/>
        <w:tblInd w:w="714" w:type="dxa"/>
        <w:tblLook w:val="04A0"/>
      </w:tblPr>
      <w:tblGrid>
        <w:gridCol w:w="525"/>
        <w:gridCol w:w="3434"/>
        <w:gridCol w:w="1276"/>
        <w:gridCol w:w="4507"/>
      </w:tblGrid>
      <w:tr w:rsidR="004021E7" w:rsidRPr="00D0291D" w:rsidTr="00A44F72">
        <w:trPr>
          <w:cantSplit/>
          <w:tblHeader/>
        </w:trPr>
        <w:tc>
          <w:tcPr>
            <w:tcW w:w="525" w:type="dxa"/>
            <w:shd w:val="clear" w:color="auto" w:fill="FABF8F" w:themeFill="accent6" w:themeFillTint="99"/>
          </w:tcPr>
          <w:p w:rsidR="004021E7" w:rsidRPr="00D0291D" w:rsidRDefault="004021E7" w:rsidP="00A44F72">
            <w:pPr>
              <w:spacing w:line="276" w:lineRule="auto"/>
              <w:jc w:val="both"/>
              <w:rPr>
                <w:b/>
                <w:bCs/>
                <w:color w:val="000000"/>
              </w:rPr>
            </w:pPr>
          </w:p>
        </w:tc>
        <w:tc>
          <w:tcPr>
            <w:tcW w:w="3434" w:type="dxa"/>
            <w:shd w:val="clear" w:color="auto" w:fill="FABF8F" w:themeFill="accent6" w:themeFillTint="99"/>
          </w:tcPr>
          <w:p w:rsidR="004021E7" w:rsidRPr="00D0291D" w:rsidRDefault="004021E7" w:rsidP="00A44F72">
            <w:pPr>
              <w:spacing w:line="276" w:lineRule="auto"/>
              <w:jc w:val="both"/>
              <w:rPr>
                <w:b/>
                <w:bCs/>
                <w:color w:val="000000"/>
              </w:rPr>
            </w:pPr>
            <w:r w:rsidRPr="00D0291D">
              <w:rPr>
                <w:b/>
                <w:bCs/>
                <w:color w:val="000000"/>
              </w:rPr>
              <w:t>Entry</w:t>
            </w:r>
          </w:p>
        </w:tc>
        <w:tc>
          <w:tcPr>
            <w:tcW w:w="1276" w:type="dxa"/>
            <w:shd w:val="clear" w:color="auto" w:fill="FABF8F" w:themeFill="accent6" w:themeFillTint="99"/>
          </w:tcPr>
          <w:p w:rsidR="004021E7" w:rsidRPr="00D0291D" w:rsidRDefault="004021E7" w:rsidP="00A44F72">
            <w:pPr>
              <w:spacing w:line="276" w:lineRule="auto"/>
              <w:jc w:val="both"/>
              <w:rPr>
                <w:b/>
                <w:bCs/>
                <w:color w:val="000000"/>
              </w:rPr>
            </w:pPr>
            <w:r w:rsidRPr="00D0291D">
              <w:rPr>
                <w:b/>
                <w:bCs/>
                <w:color w:val="000000"/>
              </w:rPr>
              <w:t xml:space="preserve">Amount </w:t>
            </w:r>
          </w:p>
          <w:p w:rsidR="004021E7" w:rsidRPr="00D0291D" w:rsidRDefault="004021E7" w:rsidP="00A44F72">
            <w:pPr>
              <w:spacing w:line="276" w:lineRule="auto"/>
              <w:jc w:val="both"/>
              <w:rPr>
                <w:b/>
                <w:bCs/>
                <w:color w:val="000000"/>
              </w:rPr>
            </w:pPr>
            <w:r w:rsidRPr="00D0291D">
              <w:rPr>
                <w:b/>
                <w:bCs/>
                <w:color w:val="000000"/>
              </w:rPr>
              <w:t>(Rs. Lakh)</w:t>
            </w:r>
          </w:p>
        </w:tc>
        <w:tc>
          <w:tcPr>
            <w:tcW w:w="4507" w:type="dxa"/>
            <w:shd w:val="clear" w:color="auto" w:fill="FABF8F" w:themeFill="accent6" w:themeFillTint="99"/>
          </w:tcPr>
          <w:p w:rsidR="004021E7" w:rsidRPr="00D0291D" w:rsidRDefault="004021E7" w:rsidP="00A44F72">
            <w:pPr>
              <w:spacing w:line="276" w:lineRule="auto"/>
              <w:jc w:val="both"/>
              <w:rPr>
                <w:b/>
                <w:bCs/>
                <w:color w:val="000000"/>
              </w:rPr>
            </w:pPr>
            <w:r w:rsidRPr="00D0291D">
              <w:rPr>
                <w:b/>
                <w:bCs/>
                <w:color w:val="000000"/>
              </w:rPr>
              <w:t>Remark</w:t>
            </w:r>
          </w:p>
        </w:tc>
      </w:tr>
      <w:tr w:rsidR="004021E7" w:rsidRPr="00D0291D" w:rsidTr="00A44F72">
        <w:tc>
          <w:tcPr>
            <w:tcW w:w="525" w:type="dxa"/>
          </w:tcPr>
          <w:p w:rsidR="004021E7" w:rsidRPr="00D0291D" w:rsidRDefault="004021E7" w:rsidP="00A44F72">
            <w:pPr>
              <w:spacing w:line="276" w:lineRule="auto"/>
              <w:jc w:val="both"/>
              <w:rPr>
                <w:color w:val="000000"/>
              </w:rPr>
            </w:pPr>
            <w:r w:rsidRPr="00D0291D">
              <w:rPr>
                <w:color w:val="000000"/>
              </w:rPr>
              <w:t>A</w:t>
            </w:r>
          </w:p>
        </w:tc>
        <w:tc>
          <w:tcPr>
            <w:tcW w:w="3434" w:type="dxa"/>
          </w:tcPr>
          <w:p w:rsidR="004021E7" w:rsidRPr="00D0291D" w:rsidRDefault="004021E7" w:rsidP="00A44F72">
            <w:pPr>
              <w:spacing w:line="276" w:lineRule="auto"/>
              <w:jc w:val="both"/>
              <w:rPr>
                <w:color w:val="000000"/>
              </w:rPr>
            </w:pPr>
            <w:r w:rsidRPr="00D0291D">
              <w:rPr>
                <w:color w:val="000000"/>
              </w:rPr>
              <w:t>Provision for bad and doubtful debt</w:t>
            </w:r>
          </w:p>
        </w:tc>
        <w:tc>
          <w:tcPr>
            <w:tcW w:w="1276" w:type="dxa"/>
          </w:tcPr>
          <w:p w:rsidR="004021E7" w:rsidRPr="00D0291D" w:rsidRDefault="004021E7" w:rsidP="00A44F72">
            <w:pPr>
              <w:spacing w:line="276" w:lineRule="auto"/>
              <w:jc w:val="both"/>
              <w:rPr>
                <w:color w:val="000000"/>
              </w:rPr>
            </w:pPr>
            <w:r w:rsidRPr="00D0291D">
              <w:rPr>
                <w:color w:val="000000"/>
              </w:rPr>
              <w:t>2104.63</w:t>
            </w:r>
          </w:p>
        </w:tc>
        <w:tc>
          <w:tcPr>
            <w:tcW w:w="4507" w:type="dxa"/>
          </w:tcPr>
          <w:p w:rsidR="004021E7" w:rsidRPr="00D0291D" w:rsidRDefault="004021E7" w:rsidP="00A44F72">
            <w:pPr>
              <w:spacing w:line="276" w:lineRule="auto"/>
              <w:jc w:val="both"/>
              <w:rPr>
                <w:color w:val="000000"/>
              </w:rPr>
            </w:pPr>
            <w:r w:rsidRPr="00D0291D">
              <w:rPr>
                <w:color w:val="000000"/>
              </w:rPr>
              <w:t>Note 32 ‘Other Expenses’</w:t>
            </w:r>
          </w:p>
        </w:tc>
      </w:tr>
      <w:tr w:rsidR="004021E7" w:rsidRPr="00D0291D" w:rsidTr="00A44F72">
        <w:tc>
          <w:tcPr>
            <w:tcW w:w="525" w:type="dxa"/>
          </w:tcPr>
          <w:p w:rsidR="004021E7" w:rsidRPr="00D0291D" w:rsidRDefault="004021E7" w:rsidP="00A44F72">
            <w:pPr>
              <w:spacing w:line="276" w:lineRule="auto"/>
              <w:jc w:val="both"/>
              <w:rPr>
                <w:color w:val="000000"/>
              </w:rPr>
            </w:pPr>
            <w:r w:rsidRPr="00D0291D">
              <w:rPr>
                <w:color w:val="000000"/>
              </w:rPr>
              <w:t>B</w:t>
            </w:r>
          </w:p>
        </w:tc>
        <w:tc>
          <w:tcPr>
            <w:tcW w:w="3434" w:type="dxa"/>
          </w:tcPr>
          <w:p w:rsidR="004021E7" w:rsidRPr="00D0291D" w:rsidRDefault="004021E7" w:rsidP="00A44F72">
            <w:pPr>
              <w:spacing w:line="276" w:lineRule="auto"/>
              <w:jc w:val="both"/>
              <w:rPr>
                <w:color w:val="000000"/>
              </w:rPr>
            </w:pPr>
            <w:r w:rsidRPr="00D0291D">
              <w:rPr>
                <w:color w:val="000000"/>
              </w:rPr>
              <w:t>Provision No Longer Required</w:t>
            </w:r>
          </w:p>
        </w:tc>
        <w:tc>
          <w:tcPr>
            <w:tcW w:w="1276" w:type="dxa"/>
          </w:tcPr>
          <w:p w:rsidR="004021E7" w:rsidRPr="00D0291D" w:rsidRDefault="004021E7" w:rsidP="00A44F72">
            <w:pPr>
              <w:spacing w:line="276" w:lineRule="auto"/>
              <w:jc w:val="both"/>
              <w:rPr>
                <w:color w:val="000000"/>
              </w:rPr>
            </w:pPr>
            <w:r w:rsidRPr="00D0291D">
              <w:rPr>
                <w:color w:val="000000"/>
              </w:rPr>
              <w:t>2055.50</w:t>
            </w:r>
          </w:p>
        </w:tc>
        <w:tc>
          <w:tcPr>
            <w:tcW w:w="4507" w:type="dxa"/>
          </w:tcPr>
          <w:p w:rsidR="004021E7" w:rsidRPr="00D0291D" w:rsidRDefault="004021E7" w:rsidP="00A44F72">
            <w:pPr>
              <w:spacing w:line="276" w:lineRule="auto"/>
              <w:jc w:val="both"/>
              <w:rPr>
                <w:color w:val="000000"/>
              </w:rPr>
            </w:pPr>
            <w:r w:rsidRPr="00D0291D">
              <w:rPr>
                <w:color w:val="000000"/>
              </w:rPr>
              <w:t>Booked as part of Miscellaneous Income (Rs. 4770.04 lakh) in Note 28 ‘Other Income’</w:t>
            </w:r>
          </w:p>
        </w:tc>
      </w:tr>
      <w:tr w:rsidR="004021E7" w:rsidRPr="00D0291D" w:rsidTr="00A44F72">
        <w:tc>
          <w:tcPr>
            <w:tcW w:w="525" w:type="dxa"/>
          </w:tcPr>
          <w:p w:rsidR="004021E7" w:rsidRPr="00D0291D" w:rsidRDefault="004021E7" w:rsidP="00A44F72">
            <w:pPr>
              <w:spacing w:line="276" w:lineRule="auto"/>
              <w:jc w:val="both"/>
              <w:rPr>
                <w:color w:val="000000"/>
              </w:rPr>
            </w:pPr>
            <w:r w:rsidRPr="00D0291D">
              <w:rPr>
                <w:color w:val="000000"/>
              </w:rPr>
              <w:t>C</w:t>
            </w:r>
          </w:p>
        </w:tc>
        <w:tc>
          <w:tcPr>
            <w:tcW w:w="3434" w:type="dxa"/>
          </w:tcPr>
          <w:p w:rsidR="004021E7" w:rsidRPr="00D0291D" w:rsidRDefault="004021E7" w:rsidP="00A44F72">
            <w:pPr>
              <w:spacing w:line="276" w:lineRule="auto"/>
              <w:jc w:val="both"/>
              <w:rPr>
                <w:color w:val="000000"/>
              </w:rPr>
            </w:pPr>
            <w:r w:rsidRPr="00D0291D">
              <w:rPr>
                <w:color w:val="000000"/>
              </w:rPr>
              <w:t>Difference</w:t>
            </w:r>
          </w:p>
        </w:tc>
        <w:tc>
          <w:tcPr>
            <w:tcW w:w="1276" w:type="dxa"/>
          </w:tcPr>
          <w:p w:rsidR="004021E7" w:rsidRPr="00D0291D" w:rsidRDefault="004021E7" w:rsidP="00A44F72">
            <w:pPr>
              <w:spacing w:line="276" w:lineRule="auto"/>
              <w:jc w:val="both"/>
              <w:rPr>
                <w:color w:val="000000"/>
              </w:rPr>
            </w:pPr>
            <w:r w:rsidRPr="00D0291D">
              <w:rPr>
                <w:color w:val="000000"/>
              </w:rPr>
              <w:t>49.13</w:t>
            </w:r>
          </w:p>
        </w:tc>
        <w:tc>
          <w:tcPr>
            <w:tcW w:w="4507" w:type="dxa"/>
          </w:tcPr>
          <w:p w:rsidR="004021E7" w:rsidRPr="00D0291D" w:rsidRDefault="004021E7" w:rsidP="00A44F72">
            <w:pPr>
              <w:spacing w:line="276" w:lineRule="auto"/>
              <w:jc w:val="both"/>
              <w:rPr>
                <w:color w:val="000000"/>
              </w:rPr>
            </w:pPr>
            <w:r w:rsidRPr="00D0291D">
              <w:rPr>
                <w:color w:val="000000"/>
              </w:rPr>
              <w:t>C=A-B</w:t>
            </w:r>
          </w:p>
        </w:tc>
      </w:tr>
    </w:tbl>
    <w:p w:rsidR="004021E7" w:rsidRPr="00CD3A26" w:rsidRDefault="00A93FA7" w:rsidP="00F82199">
      <w:pPr>
        <w:spacing w:before="360" w:after="240" w:line="276" w:lineRule="auto"/>
        <w:ind w:left="714"/>
        <w:jc w:val="both"/>
        <w:rPr>
          <w:color w:val="000000"/>
        </w:rPr>
      </w:pPr>
      <w:r w:rsidRPr="00D0291D">
        <w:rPr>
          <w:color w:val="000000"/>
        </w:rPr>
        <w:t>In view of above, the Hon’ble Commission is requested to consider Non-Tariff Income as Rs. 151.15 Crore instead of Rs. 171.70 Crore as submitted in the Petition, i.e., lower by Rs. 20.55 Crore.</w:t>
      </w:r>
    </w:p>
    <w:p w:rsidR="00D20D68" w:rsidRPr="000357FD" w:rsidRDefault="00D20D68" w:rsidP="005C597E">
      <w:pPr>
        <w:numPr>
          <w:ilvl w:val="0"/>
          <w:numId w:val="9"/>
        </w:numPr>
        <w:spacing w:before="360" w:after="240" w:line="276" w:lineRule="auto"/>
        <w:ind w:left="714" w:hanging="357"/>
        <w:jc w:val="both"/>
        <w:rPr>
          <w:b/>
          <w:bCs/>
          <w:color w:val="000000"/>
        </w:rPr>
      </w:pPr>
      <w:r w:rsidRPr="000357FD">
        <w:rPr>
          <w:rFonts w:ascii="Book Antiqua" w:hAnsi="Book Antiqua"/>
          <w:b/>
          <w:bCs/>
          <w:color w:val="000000"/>
        </w:rPr>
        <w:t>Regarding Income Tax, UGVCL should submit the following:</w:t>
      </w:r>
    </w:p>
    <w:p w:rsidR="00C810B7" w:rsidRPr="000357FD" w:rsidRDefault="00D20D68" w:rsidP="00FE7AAA">
      <w:pPr>
        <w:numPr>
          <w:ilvl w:val="1"/>
          <w:numId w:val="9"/>
        </w:numPr>
        <w:spacing w:after="240" w:line="276" w:lineRule="auto"/>
        <w:ind w:hanging="357"/>
        <w:jc w:val="both"/>
        <w:rPr>
          <w:rFonts w:eastAsia="Times New Roman"/>
          <w:b/>
          <w:bCs/>
          <w:color w:val="000000"/>
        </w:rPr>
      </w:pPr>
      <w:r w:rsidRPr="000357FD">
        <w:rPr>
          <w:rFonts w:ascii="Book Antiqua" w:eastAsia="Times New Roman" w:hAnsi="Book Antiqua"/>
          <w:b/>
          <w:bCs/>
          <w:color w:val="000000"/>
        </w:rPr>
        <w:t>Copies of Challans and ITR6 </w:t>
      </w:r>
    </w:p>
    <w:p w:rsidR="000E4BCD" w:rsidRDefault="00A25E3F" w:rsidP="000357FD">
      <w:pPr>
        <w:spacing w:after="240" w:line="276" w:lineRule="auto"/>
        <w:ind w:left="851"/>
        <w:jc w:val="both"/>
        <w:rPr>
          <w:rFonts w:ascii="Book Antiqua" w:eastAsia="Times New Roman" w:hAnsi="Book Antiqua"/>
          <w:color w:val="000000"/>
        </w:rPr>
      </w:pPr>
      <w:r w:rsidRPr="000357FD">
        <w:rPr>
          <w:rFonts w:ascii="Book Antiqua" w:eastAsia="Times New Roman" w:hAnsi="Book Antiqua"/>
          <w:b/>
          <w:bCs/>
          <w:color w:val="000000"/>
        </w:rPr>
        <w:t>Compliance: -</w:t>
      </w:r>
      <w:r w:rsidR="000357FD">
        <w:rPr>
          <w:rFonts w:ascii="Book Antiqua" w:eastAsia="Times New Roman" w:hAnsi="Book Antiqua"/>
          <w:color w:val="000000"/>
        </w:rPr>
        <w:t xml:space="preserve">Requested </w:t>
      </w:r>
      <w:bookmarkStart w:id="9" w:name="_Hlk30580591"/>
      <w:r w:rsidR="000357FD">
        <w:rPr>
          <w:rFonts w:ascii="Book Antiqua" w:eastAsia="Times New Roman" w:hAnsi="Book Antiqua"/>
          <w:color w:val="000000"/>
        </w:rPr>
        <w:t>Challans &amp; ITR- 6</w:t>
      </w:r>
      <w:bookmarkEnd w:id="9"/>
      <w:r w:rsidR="000357FD">
        <w:rPr>
          <w:rFonts w:ascii="Book Antiqua" w:eastAsia="Times New Roman" w:hAnsi="Book Antiqua"/>
          <w:color w:val="000000"/>
        </w:rPr>
        <w:t xml:space="preserve"> are p</w:t>
      </w:r>
      <w:r>
        <w:rPr>
          <w:rFonts w:ascii="Book Antiqua" w:eastAsia="Times New Roman" w:hAnsi="Book Antiqua"/>
          <w:color w:val="000000"/>
        </w:rPr>
        <w:t xml:space="preserve">rovided in </w:t>
      </w:r>
      <w:bookmarkStart w:id="10" w:name="_Hlk30580566"/>
      <w:r w:rsidRPr="00B35C90">
        <w:rPr>
          <w:rFonts w:ascii="Book Antiqua" w:eastAsia="Times New Roman" w:hAnsi="Book Antiqua"/>
          <w:b/>
          <w:bCs/>
          <w:color w:val="000000"/>
          <w:u w:val="single"/>
        </w:rPr>
        <w:t xml:space="preserve">Annexure – </w:t>
      </w:r>
      <w:r w:rsidR="000E4BCD" w:rsidRPr="00B35C90">
        <w:rPr>
          <w:rFonts w:ascii="Book Antiqua" w:eastAsia="Times New Roman" w:hAnsi="Book Antiqua"/>
          <w:b/>
          <w:bCs/>
          <w:color w:val="000000"/>
          <w:u w:val="single"/>
        </w:rPr>
        <w:t>E</w:t>
      </w:r>
      <w:r w:rsidR="000357FD" w:rsidRPr="00B35C90">
        <w:rPr>
          <w:rFonts w:ascii="Book Antiqua" w:eastAsia="Times New Roman" w:hAnsi="Book Antiqua"/>
          <w:b/>
          <w:bCs/>
          <w:color w:val="000000"/>
          <w:u w:val="single"/>
        </w:rPr>
        <w:t>&amp;F</w:t>
      </w:r>
      <w:bookmarkEnd w:id="10"/>
      <w:r w:rsidR="000357FD">
        <w:rPr>
          <w:rFonts w:ascii="Book Antiqua" w:eastAsia="Times New Roman" w:hAnsi="Book Antiqua"/>
          <w:color w:val="000000"/>
        </w:rPr>
        <w:t>respectively.</w:t>
      </w:r>
    </w:p>
    <w:p w:rsidR="000E4BCD" w:rsidRPr="007D4215" w:rsidRDefault="000E4BCD" w:rsidP="007D4215">
      <w:pPr>
        <w:spacing w:after="240" w:line="276" w:lineRule="auto"/>
        <w:ind w:left="1083"/>
        <w:jc w:val="both"/>
        <w:rPr>
          <w:rFonts w:ascii="Book Antiqua" w:eastAsia="Times New Roman" w:hAnsi="Book Antiqua"/>
          <w:color w:val="000000"/>
        </w:rPr>
      </w:pPr>
    </w:p>
    <w:p w:rsidR="00D20D68" w:rsidRPr="000357FD" w:rsidRDefault="00D20D68">
      <w:pPr>
        <w:numPr>
          <w:ilvl w:val="1"/>
          <w:numId w:val="9"/>
        </w:numPr>
        <w:spacing w:after="240" w:line="276" w:lineRule="auto"/>
        <w:ind w:hanging="357"/>
        <w:jc w:val="both"/>
        <w:rPr>
          <w:rFonts w:eastAsia="Times New Roman"/>
          <w:b/>
          <w:bCs/>
          <w:color w:val="000000"/>
        </w:rPr>
      </w:pPr>
      <w:r w:rsidRPr="000357FD">
        <w:rPr>
          <w:rFonts w:ascii="Book Antiqua" w:eastAsia="Times New Roman" w:hAnsi="Book Antiqua"/>
          <w:b/>
          <w:bCs/>
          <w:color w:val="000000"/>
        </w:rPr>
        <w:t>Confirm whether any refund of income tax has been received in FY 2018-19</w:t>
      </w:r>
    </w:p>
    <w:p w:rsidR="0047700B" w:rsidRDefault="0047700B" w:rsidP="000357FD">
      <w:pPr>
        <w:spacing w:after="240" w:line="276" w:lineRule="auto"/>
        <w:ind w:left="851"/>
        <w:jc w:val="both"/>
        <w:rPr>
          <w:rFonts w:ascii="Book Antiqua" w:eastAsia="Times New Roman" w:hAnsi="Book Antiqua"/>
          <w:color w:val="000000"/>
        </w:rPr>
      </w:pPr>
      <w:r w:rsidRPr="000357FD">
        <w:rPr>
          <w:rFonts w:ascii="Book Antiqua" w:eastAsia="Times New Roman" w:hAnsi="Book Antiqua"/>
          <w:b/>
          <w:bCs/>
          <w:color w:val="000000"/>
        </w:rPr>
        <w:t>Compliance-</w:t>
      </w:r>
      <w:r w:rsidRPr="0047700B">
        <w:rPr>
          <w:rFonts w:ascii="Book Antiqua" w:eastAsia="Times New Roman" w:hAnsi="Book Antiqua"/>
          <w:color w:val="000000"/>
        </w:rPr>
        <w:t>During the year under consideration UGVCL has not received any refund. However</w:t>
      </w:r>
      <w:r w:rsidR="00A25E3F">
        <w:rPr>
          <w:rFonts w:ascii="Book Antiqua" w:eastAsia="Times New Roman" w:hAnsi="Book Antiqua"/>
          <w:color w:val="000000"/>
        </w:rPr>
        <w:t>,</w:t>
      </w:r>
      <w:r w:rsidRPr="0047700B">
        <w:rPr>
          <w:rFonts w:ascii="Book Antiqua" w:eastAsia="Times New Roman" w:hAnsi="Book Antiqua"/>
          <w:color w:val="000000"/>
        </w:rPr>
        <w:t xml:space="preserve"> for Two years the refund is adjusted against the demand raised by the department</w:t>
      </w:r>
      <w:r w:rsidR="00B35C90">
        <w:rPr>
          <w:rFonts w:ascii="Book Antiqua" w:eastAsia="Times New Roman" w:hAnsi="Book Antiqua"/>
          <w:color w:val="000000"/>
        </w:rPr>
        <w:t>.</w:t>
      </w:r>
    </w:p>
    <w:p w:rsidR="000E4BCD" w:rsidRDefault="000E4BCD" w:rsidP="005C597E">
      <w:pPr>
        <w:spacing w:after="240" w:line="276" w:lineRule="auto"/>
        <w:ind w:left="720"/>
        <w:jc w:val="both"/>
        <w:rPr>
          <w:rFonts w:eastAsia="Times New Roman"/>
          <w:color w:val="000000"/>
        </w:rPr>
      </w:pPr>
    </w:p>
    <w:p w:rsidR="00D20D68" w:rsidRPr="000357FD" w:rsidRDefault="00D20D68" w:rsidP="000357FD">
      <w:pPr>
        <w:numPr>
          <w:ilvl w:val="1"/>
          <w:numId w:val="9"/>
        </w:numPr>
        <w:tabs>
          <w:tab w:val="clear" w:pos="1440"/>
          <w:tab w:val="num" w:pos="1134"/>
        </w:tabs>
        <w:spacing w:after="240" w:line="276" w:lineRule="auto"/>
        <w:ind w:hanging="357"/>
        <w:jc w:val="both"/>
        <w:rPr>
          <w:rFonts w:eastAsia="Times New Roman"/>
          <w:b/>
          <w:bCs/>
          <w:color w:val="000000"/>
        </w:rPr>
      </w:pPr>
      <w:r w:rsidRPr="000357FD">
        <w:rPr>
          <w:rFonts w:ascii="Book Antiqua" w:eastAsia="Times New Roman" w:hAnsi="Book Antiqua"/>
          <w:b/>
          <w:bCs/>
          <w:color w:val="000000"/>
        </w:rPr>
        <w:t>Computation of Income Tax refund payable of Rs. 0.95 Crore for FY 2018-19</w:t>
      </w:r>
    </w:p>
    <w:p w:rsidR="00C810B7" w:rsidRDefault="00C810B7" w:rsidP="005C597E">
      <w:pPr>
        <w:spacing w:after="240" w:line="276" w:lineRule="auto"/>
        <w:ind w:left="1440"/>
        <w:jc w:val="both"/>
        <w:rPr>
          <w:rFonts w:ascii="Book Antiqua" w:eastAsia="Times New Roman" w:hAnsi="Book Antiqua"/>
          <w:color w:val="000000"/>
        </w:rPr>
      </w:pPr>
      <w:r w:rsidRPr="000357FD">
        <w:rPr>
          <w:rFonts w:ascii="Book Antiqua" w:eastAsia="Times New Roman" w:hAnsi="Book Antiqua"/>
          <w:b/>
          <w:bCs/>
          <w:color w:val="000000"/>
        </w:rPr>
        <w:t>Compliance: -</w:t>
      </w:r>
      <w:r w:rsidR="000357FD">
        <w:rPr>
          <w:rFonts w:ascii="Book Antiqua" w:eastAsia="Times New Roman" w:hAnsi="Book Antiqua"/>
          <w:color w:val="000000"/>
        </w:rPr>
        <w:t>Copy of ITR is p</w:t>
      </w:r>
      <w:r>
        <w:rPr>
          <w:rFonts w:ascii="Book Antiqua" w:eastAsia="Times New Roman" w:hAnsi="Book Antiqua"/>
          <w:color w:val="000000"/>
        </w:rPr>
        <w:t xml:space="preserve">rovided in </w:t>
      </w:r>
      <w:r w:rsidRPr="00B35C90">
        <w:rPr>
          <w:rFonts w:ascii="Book Antiqua" w:eastAsia="Times New Roman" w:hAnsi="Book Antiqua"/>
          <w:b/>
          <w:bCs/>
          <w:color w:val="000000"/>
          <w:u w:val="single"/>
        </w:rPr>
        <w:t xml:space="preserve">Annexure – </w:t>
      </w:r>
      <w:r w:rsidR="000E4BCD" w:rsidRPr="00B35C90">
        <w:rPr>
          <w:rFonts w:ascii="Book Antiqua" w:eastAsia="Times New Roman" w:hAnsi="Book Antiqua"/>
          <w:b/>
          <w:bCs/>
          <w:color w:val="000000"/>
          <w:u w:val="single"/>
        </w:rPr>
        <w:t>F</w:t>
      </w:r>
      <w:r w:rsidR="00B35C90">
        <w:rPr>
          <w:rFonts w:ascii="Book Antiqua" w:eastAsia="Times New Roman" w:hAnsi="Book Antiqua"/>
          <w:b/>
          <w:bCs/>
          <w:color w:val="000000"/>
          <w:u w:val="single"/>
        </w:rPr>
        <w:t>.</w:t>
      </w:r>
    </w:p>
    <w:p w:rsidR="00B9383C" w:rsidRDefault="00B9383C" w:rsidP="005C597E">
      <w:pPr>
        <w:spacing w:after="240" w:line="276" w:lineRule="auto"/>
        <w:ind w:left="1440"/>
        <w:jc w:val="both"/>
        <w:rPr>
          <w:rFonts w:eastAsia="Times New Roman"/>
          <w:color w:val="000000"/>
        </w:rPr>
      </w:pPr>
    </w:p>
    <w:p w:rsidR="00D20D68" w:rsidRPr="000357FD" w:rsidRDefault="00D20D68" w:rsidP="005C597E">
      <w:pPr>
        <w:numPr>
          <w:ilvl w:val="0"/>
          <w:numId w:val="9"/>
        </w:numPr>
        <w:spacing w:line="276" w:lineRule="auto"/>
        <w:ind w:left="630" w:hanging="357"/>
        <w:jc w:val="both"/>
        <w:rPr>
          <w:b/>
          <w:bCs/>
          <w:color w:val="000000"/>
          <w:sz w:val="22"/>
          <w:szCs w:val="22"/>
        </w:rPr>
      </w:pPr>
      <w:r w:rsidRPr="000357FD">
        <w:rPr>
          <w:rFonts w:ascii="Book Antiqua" w:hAnsi="Book Antiqua"/>
          <w:b/>
          <w:bCs/>
          <w:color w:val="000000"/>
        </w:rPr>
        <w:t>Furnish the head-wise details of claim of subsidy to Government of Gujarat and actual subsidy received in FY 2018-19</w:t>
      </w:r>
      <w:r w:rsidR="00FE7AAA" w:rsidRPr="000357FD">
        <w:rPr>
          <w:rFonts w:ascii="Book Antiqua" w:hAnsi="Book Antiqua"/>
          <w:b/>
          <w:bCs/>
          <w:color w:val="000000"/>
        </w:rPr>
        <w:t>.</w:t>
      </w:r>
    </w:p>
    <w:tbl>
      <w:tblPr>
        <w:tblW w:w="8517" w:type="dxa"/>
        <w:tblInd w:w="675" w:type="dxa"/>
        <w:tblLook w:val="04A0"/>
      </w:tblPr>
      <w:tblGrid>
        <w:gridCol w:w="773"/>
        <w:gridCol w:w="5360"/>
        <w:gridCol w:w="2384"/>
      </w:tblGrid>
      <w:tr w:rsidR="0047700B" w:rsidRPr="00211D4D" w:rsidTr="007D4215">
        <w:trPr>
          <w:trHeight w:val="344"/>
        </w:trPr>
        <w:tc>
          <w:tcPr>
            <w:tcW w:w="773" w:type="dxa"/>
            <w:tcBorders>
              <w:top w:val="nil"/>
              <w:left w:val="nil"/>
              <w:bottom w:val="nil"/>
              <w:right w:val="nil"/>
            </w:tcBorders>
            <w:shd w:val="clear" w:color="auto" w:fill="auto"/>
            <w:noWrap/>
            <w:vAlign w:val="bottom"/>
            <w:hideMark/>
          </w:tcPr>
          <w:p w:rsidR="0047700B" w:rsidRPr="00211D4D" w:rsidRDefault="0047700B" w:rsidP="0047700B">
            <w:pPr>
              <w:rPr>
                <w:rFonts w:ascii="Book Antiqua" w:eastAsia="Times New Roman" w:hAnsi="Book Antiqua" w:cs="Times New Roman"/>
                <w:sz w:val="20"/>
                <w:szCs w:val="20"/>
                <w:lang w:eastAsia="en-IN"/>
              </w:rPr>
            </w:pPr>
          </w:p>
        </w:tc>
        <w:tc>
          <w:tcPr>
            <w:tcW w:w="5360" w:type="dxa"/>
            <w:tcBorders>
              <w:top w:val="nil"/>
              <w:left w:val="nil"/>
              <w:bottom w:val="nil"/>
              <w:right w:val="nil"/>
            </w:tcBorders>
            <w:shd w:val="clear" w:color="auto" w:fill="auto"/>
            <w:noWrap/>
            <w:vAlign w:val="bottom"/>
            <w:hideMark/>
          </w:tcPr>
          <w:p w:rsidR="0047700B" w:rsidRPr="00211D4D" w:rsidRDefault="0047700B" w:rsidP="0047700B">
            <w:pPr>
              <w:rPr>
                <w:rFonts w:ascii="Book Antiqua" w:eastAsia="Times New Roman" w:hAnsi="Book Antiqua" w:cs="Times New Roman"/>
                <w:sz w:val="20"/>
                <w:szCs w:val="20"/>
                <w:lang w:eastAsia="en-IN"/>
              </w:rPr>
            </w:pPr>
          </w:p>
        </w:tc>
        <w:tc>
          <w:tcPr>
            <w:tcW w:w="2384" w:type="dxa"/>
            <w:tcBorders>
              <w:top w:val="nil"/>
              <w:left w:val="nil"/>
              <w:bottom w:val="nil"/>
              <w:right w:val="nil"/>
            </w:tcBorders>
            <w:shd w:val="clear" w:color="auto" w:fill="auto"/>
            <w:noWrap/>
            <w:vAlign w:val="bottom"/>
            <w:hideMark/>
          </w:tcPr>
          <w:p w:rsidR="0047700B" w:rsidRPr="00211D4D" w:rsidRDefault="0047700B" w:rsidP="005A07FE">
            <w:pPr>
              <w:jc w:val="right"/>
              <w:rPr>
                <w:rFonts w:ascii="Book Antiqua" w:eastAsia="Times New Roman" w:hAnsi="Book Antiqua" w:cs="Times New Roman"/>
                <w:b/>
                <w:bCs/>
                <w:color w:val="000000"/>
                <w:lang w:eastAsia="en-IN"/>
              </w:rPr>
            </w:pPr>
            <w:r w:rsidRPr="00211D4D">
              <w:rPr>
                <w:rFonts w:ascii="Book Antiqua" w:eastAsia="Times New Roman" w:hAnsi="Book Antiqua" w:cs="Times New Roman"/>
                <w:b/>
                <w:bCs/>
                <w:color w:val="000000"/>
                <w:sz w:val="22"/>
                <w:szCs w:val="22"/>
                <w:lang w:eastAsia="en-IN"/>
              </w:rPr>
              <w:t>Rs. In Lakhs</w:t>
            </w:r>
          </w:p>
        </w:tc>
      </w:tr>
      <w:tr w:rsidR="0047700B" w:rsidRPr="00211D4D" w:rsidTr="005A07FE">
        <w:trPr>
          <w:trHeight w:val="115"/>
        </w:trPr>
        <w:tc>
          <w:tcPr>
            <w:tcW w:w="773" w:type="dxa"/>
            <w:vMerge w:val="restart"/>
            <w:tcBorders>
              <w:top w:val="single" w:sz="4" w:space="0" w:color="auto"/>
              <w:left w:val="single" w:sz="4" w:space="0" w:color="auto"/>
              <w:bottom w:val="single" w:sz="4" w:space="0" w:color="000000"/>
              <w:right w:val="single" w:sz="4" w:space="0" w:color="auto"/>
            </w:tcBorders>
            <w:shd w:val="clear" w:color="auto" w:fill="FABF8F" w:themeFill="accent6" w:themeFillTint="99"/>
            <w:noWrap/>
            <w:vAlign w:val="center"/>
            <w:hideMark/>
          </w:tcPr>
          <w:p w:rsidR="0047700B" w:rsidRPr="00211D4D" w:rsidRDefault="0047700B" w:rsidP="0047700B">
            <w:pPr>
              <w:jc w:val="center"/>
              <w:rPr>
                <w:rFonts w:ascii="Book Antiqua" w:eastAsia="Times New Roman" w:hAnsi="Book Antiqua" w:cs="Times New Roman"/>
                <w:b/>
                <w:bCs/>
                <w:color w:val="000000"/>
                <w:lang w:eastAsia="en-IN"/>
              </w:rPr>
            </w:pPr>
            <w:r w:rsidRPr="00211D4D">
              <w:rPr>
                <w:rFonts w:ascii="Book Antiqua" w:eastAsia="Times New Roman" w:hAnsi="Book Antiqua" w:cs="Times New Roman"/>
                <w:b/>
                <w:bCs/>
                <w:color w:val="000000"/>
                <w:lang w:eastAsia="en-IN"/>
              </w:rPr>
              <w:t>Sr. No.</w:t>
            </w:r>
          </w:p>
        </w:tc>
        <w:tc>
          <w:tcPr>
            <w:tcW w:w="5360" w:type="dxa"/>
            <w:vMerge w:val="restart"/>
            <w:tcBorders>
              <w:top w:val="single" w:sz="4" w:space="0" w:color="auto"/>
              <w:left w:val="single" w:sz="4" w:space="0" w:color="auto"/>
              <w:bottom w:val="single" w:sz="4" w:space="0" w:color="000000"/>
              <w:right w:val="single" w:sz="4" w:space="0" w:color="auto"/>
            </w:tcBorders>
            <w:shd w:val="clear" w:color="auto" w:fill="FABF8F" w:themeFill="accent6" w:themeFillTint="99"/>
            <w:noWrap/>
            <w:vAlign w:val="center"/>
            <w:hideMark/>
          </w:tcPr>
          <w:p w:rsidR="0047700B" w:rsidRPr="00211D4D" w:rsidRDefault="0047700B" w:rsidP="0047700B">
            <w:pPr>
              <w:jc w:val="center"/>
              <w:rPr>
                <w:rFonts w:ascii="Book Antiqua" w:eastAsia="Times New Roman" w:hAnsi="Book Antiqua" w:cs="Times New Roman"/>
                <w:b/>
                <w:bCs/>
                <w:color w:val="000000"/>
                <w:lang w:eastAsia="en-IN"/>
              </w:rPr>
            </w:pPr>
            <w:r w:rsidRPr="00211D4D">
              <w:rPr>
                <w:rFonts w:ascii="Book Antiqua" w:eastAsia="Times New Roman" w:hAnsi="Book Antiqua" w:cs="Times New Roman"/>
                <w:b/>
                <w:bCs/>
                <w:color w:val="000000"/>
                <w:lang w:eastAsia="en-IN"/>
              </w:rPr>
              <w:t>Subsidy</w:t>
            </w:r>
          </w:p>
        </w:tc>
        <w:tc>
          <w:tcPr>
            <w:tcW w:w="2384" w:type="dxa"/>
            <w:tcBorders>
              <w:top w:val="single" w:sz="4" w:space="0" w:color="auto"/>
              <w:left w:val="nil"/>
              <w:bottom w:val="single" w:sz="4" w:space="0" w:color="auto"/>
              <w:right w:val="single" w:sz="4" w:space="0" w:color="auto"/>
            </w:tcBorders>
            <w:shd w:val="clear" w:color="auto" w:fill="FABF8F" w:themeFill="accent6" w:themeFillTint="99"/>
            <w:noWrap/>
            <w:vAlign w:val="center"/>
            <w:hideMark/>
          </w:tcPr>
          <w:p w:rsidR="0047700B" w:rsidRPr="00211D4D" w:rsidRDefault="0047700B" w:rsidP="0047700B">
            <w:pPr>
              <w:jc w:val="center"/>
              <w:rPr>
                <w:rFonts w:ascii="Book Antiqua" w:eastAsia="Times New Roman" w:hAnsi="Book Antiqua" w:cs="Times New Roman"/>
                <w:b/>
                <w:bCs/>
                <w:color w:val="000000"/>
                <w:lang w:eastAsia="en-IN"/>
              </w:rPr>
            </w:pPr>
            <w:r w:rsidRPr="00211D4D">
              <w:rPr>
                <w:rFonts w:ascii="Book Antiqua" w:eastAsia="Times New Roman" w:hAnsi="Book Antiqua" w:cs="Times New Roman"/>
                <w:b/>
                <w:bCs/>
                <w:color w:val="000000"/>
                <w:lang w:eastAsia="en-IN"/>
              </w:rPr>
              <w:t>FY 2018-19</w:t>
            </w:r>
          </w:p>
        </w:tc>
      </w:tr>
      <w:tr w:rsidR="0047700B" w:rsidRPr="00211D4D" w:rsidTr="005A07FE">
        <w:trPr>
          <w:trHeight w:val="119"/>
        </w:trPr>
        <w:tc>
          <w:tcPr>
            <w:tcW w:w="773" w:type="dxa"/>
            <w:vMerge/>
            <w:tcBorders>
              <w:top w:val="single" w:sz="4" w:space="0" w:color="auto"/>
              <w:left w:val="single" w:sz="4" w:space="0" w:color="auto"/>
              <w:bottom w:val="single" w:sz="4" w:space="0" w:color="000000"/>
              <w:right w:val="single" w:sz="4" w:space="0" w:color="auto"/>
            </w:tcBorders>
            <w:shd w:val="clear" w:color="auto" w:fill="FABF8F" w:themeFill="accent6" w:themeFillTint="99"/>
            <w:vAlign w:val="center"/>
            <w:hideMark/>
          </w:tcPr>
          <w:p w:rsidR="0047700B" w:rsidRPr="00211D4D" w:rsidRDefault="0047700B" w:rsidP="0047700B">
            <w:pPr>
              <w:rPr>
                <w:rFonts w:ascii="Book Antiqua" w:eastAsia="Times New Roman" w:hAnsi="Book Antiqua" w:cs="Times New Roman"/>
                <w:b/>
                <w:bCs/>
                <w:color w:val="000000"/>
                <w:lang w:eastAsia="en-IN"/>
              </w:rPr>
            </w:pPr>
          </w:p>
        </w:tc>
        <w:tc>
          <w:tcPr>
            <w:tcW w:w="5360" w:type="dxa"/>
            <w:vMerge/>
            <w:tcBorders>
              <w:top w:val="single" w:sz="4" w:space="0" w:color="auto"/>
              <w:left w:val="single" w:sz="4" w:space="0" w:color="auto"/>
              <w:bottom w:val="single" w:sz="4" w:space="0" w:color="000000"/>
              <w:right w:val="single" w:sz="4" w:space="0" w:color="auto"/>
            </w:tcBorders>
            <w:shd w:val="clear" w:color="auto" w:fill="FABF8F" w:themeFill="accent6" w:themeFillTint="99"/>
            <w:vAlign w:val="center"/>
            <w:hideMark/>
          </w:tcPr>
          <w:p w:rsidR="0047700B" w:rsidRPr="00211D4D" w:rsidRDefault="0047700B" w:rsidP="0047700B">
            <w:pPr>
              <w:rPr>
                <w:rFonts w:ascii="Book Antiqua" w:eastAsia="Times New Roman" w:hAnsi="Book Antiqua" w:cs="Times New Roman"/>
                <w:b/>
                <w:bCs/>
                <w:color w:val="000000"/>
                <w:lang w:eastAsia="en-IN"/>
              </w:rPr>
            </w:pPr>
          </w:p>
        </w:tc>
        <w:tc>
          <w:tcPr>
            <w:tcW w:w="2384" w:type="dxa"/>
            <w:tcBorders>
              <w:top w:val="nil"/>
              <w:left w:val="nil"/>
              <w:bottom w:val="single" w:sz="4" w:space="0" w:color="auto"/>
              <w:right w:val="single" w:sz="4" w:space="0" w:color="auto"/>
            </w:tcBorders>
            <w:shd w:val="clear" w:color="auto" w:fill="FABF8F" w:themeFill="accent6" w:themeFillTint="99"/>
            <w:noWrap/>
            <w:vAlign w:val="center"/>
            <w:hideMark/>
          </w:tcPr>
          <w:p w:rsidR="0047700B" w:rsidRPr="00211D4D" w:rsidRDefault="0047700B" w:rsidP="0047700B">
            <w:pPr>
              <w:jc w:val="center"/>
              <w:rPr>
                <w:rFonts w:ascii="Book Antiqua" w:eastAsia="Times New Roman" w:hAnsi="Book Antiqua" w:cs="Times New Roman"/>
                <w:b/>
                <w:bCs/>
                <w:color w:val="000000"/>
                <w:lang w:eastAsia="en-IN"/>
              </w:rPr>
            </w:pPr>
            <w:r w:rsidRPr="00211D4D">
              <w:rPr>
                <w:rFonts w:ascii="Book Antiqua" w:eastAsia="Times New Roman" w:hAnsi="Book Antiqua" w:cs="Times New Roman"/>
                <w:b/>
                <w:bCs/>
                <w:color w:val="000000"/>
                <w:lang w:eastAsia="en-IN"/>
              </w:rPr>
              <w:t>Received</w:t>
            </w:r>
          </w:p>
        </w:tc>
      </w:tr>
      <w:tr w:rsidR="0047700B" w:rsidRPr="00211D4D" w:rsidTr="007D4215">
        <w:trPr>
          <w:trHeight w:val="344"/>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47700B" w:rsidRPr="00211D4D" w:rsidRDefault="0047700B" w:rsidP="0047700B">
            <w:pPr>
              <w:jc w:val="center"/>
              <w:rPr>
                <w:rFonts w:ascii="Book Antiqua" w:eastAsia="Times New Roman" w:hAnsi="Book Antiqua" w:cs="Times New Roman"/>
                <w:color w:val="000000"/>
                <w:lang w:eastAsia="en-IN"/>
              </w:rPr>
            </w:pPr>
            <w:r w:rsidRPr="00211D4D">
              <w:rPr>
                <w:rFonts w:ascii="Book Antiqua" w:eastAsia="Times New Roman" w:hAnsi="Book Antiqua" w:cs="Times New Roman"/>
                <w:color w:val="000000"/>
                <w:lang w:eastAsia="en-IN"/>
              </w:rPr>
              <w:t>1</w:t>
            </w:r>
          </w:p>
        </w:tc>
        <w:tc>
          <w:tcPr>
            <w:tcW w:w="5360" w:type="dxa"/>
            <w:tcBorders>
              <w:top w:val="nil"/>
              <w:left w:val="nil"/>
              <w:bottom w:val="single" w:sz="4" w:space="0" w:color="auto"/>
              <w:right w:val="single" w:sz="4" w:space="0" w:color="auto"/>
            </w:tcBorders>
            <w:shd w:val="clear" w:color="auto" w:fill="auto"/>
            <w:noWrap/>
            <w:vAlign w:val="bottom"/>
            <w:hideMark/>
          </w:tcPr>
          <w:p w:rsidR="0047700B" w:rsidRPr="00211D4D" w:rsidRDefault="0047700B" w:rsidP="0047700B">
            <w:pPr>
              <w:rPr>
                <w:rFonts w:ascii="Book Antiqua" w:eastAsia="Times New Roman" w:hAnsi="Book Antiqua" w:cs="Times New Roman"/>
                <w:color w:val="000000"/>
                <w:lang w:eastAsia="en-IN"/>
              </w:rPr>
            </w:pPr>
            <w:r w:rsidRPr="00211D4D">
              <w:rPr>
                <w:rFonts w:ascii="Book Antiqua" w:eastAsia="Times New Roman" w:hAnsi="Book Antiqua" w:cs="Times New Roman"/>
                <w:color w:val="000000"/>
                <w:lang w:eastAsia="en-IN"/>
              </w:rPr>
              <w:t xml:space="preserve">HP based Tariff </w:t>
            </w:r>
            <w:r w:rsidR="000357FD" w:rsidRPr="00211D4D">
              <w:rPr>
                <w:rFonts w:ascii="Book Antiqua" w:eastAsia="Times New Roman" w:hAnsi="Book Antiqua" w:cs="Times New Roman"/>
                <w:color w:val="000000"/>
                <w:lang w:eastAsia="en-IN"/>
              </w:rPr>
              <w:t>Compensation</w:t>
            </w:r>
          </w:p>
        </w:tc>
        <w:tc>
          <w:tcPr>
            <w:tcW w:w="2384" w:type="dxa"/>
            <w:tcBorders>
              <w:top w:val="nil"/>
              <w:left w:val="nil"/>
              <w:bottom w:val="single" w:sz="4" w:space="0" w:color="auto"/>
              <w:right w:val="single" w:sz="4" w:space="0" w:color="auto"/>
            </w:tcBorders>
            <w:shd w:val="clear" w:color="auto" w:fill="auto"/>
            <w:noWrap/>
            <w:vAlign w:val="bottom"/>
            <w:hideMark/>
          </w:tcPr>
          <w:p w:rsidR="0047700B" w:rsidRPr="00211D4D" w:rsidRDefault="0047700B" w:rsidP="005A07FE">
            <w:pPr>
              <w:jc w:val="right"/>
              <w:rPr>
                <w:rFonts w:ascii="Book Antiqua" w:eastAsia="Times New Roman" w:hAnsi="Book Antiqua" w:cs="Times New Roman"/>
                <w:color w:val="000000"/>
                <w:lang w:eastAsia="en-IN"/>
              </w:rPr>
            </w:pPr>
            <w:r w:rsidRPr="00211D4D">
              <w:rPr>
                <w:rFonts w:ascii="Book Antiqua" w:eastAsia="Times New Roman" w:hAnsi="Book Antiqua" w:cs="Times New Roman"/>
                <w:color w:val="000000"/>
                <w:lang w:eastAsia="en-IN"/>
              </w:rPr>
              <w:t xml:space="preserve">     93,747.56 </w:t>
            </w:r>
          </w:p>
        </w:tc>
      </w:tr>
      <w:tr w:rsidR="0047700B" w:rsidRPr="00211D4D" w:rsidTr="007D4215">
        <w:trPr>
          <w:trHeight w:val="344"/>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47700B" w:rsidRPr="00211D4D" w:rsidRDefault="0047700B" w:rsidP="0047700B">
            <w:pPr>
              <w:jc w:val="center"/>
              <w:rPr>
                <w:rFonts w:ascii="Book Antiqua" w:eastAsia="Times New Roman" w:hAnsi="Book Antiqua" w:cs="Times New Roman"/>
                <w:color w:val="000000"/>
                <w:lang w:eastAsia="en-IN"/>
              </w:rPr>
            </w:pPr>
            <w:r w:rsidRPr="00211D4D">
              <w:rPr>
                <w:rFonts w:ascii="Book Antiqua" w:eastAsia="Times New Roman" w:hAnsi="Book Antiqua" w:cs="Times New Roman"/>
                <w:color w:val="000000"/>
                <w:lang w:eastAsia="en-IN"/>
              </w:rPr>
              <w:t>2</w:t>
            </w:r>
          </w:p>
        </w:tc>
        <w:tc>
          <w:tcPr>
            <w:tcW w:w="5360" w:type="dxa"/>
            <w:tcBorders>
              <w:top w:val="nil"/>
              <w:left w:val="nil"/>
              <w:bottom w:val="single" w:sz="4" w:space="0" w:color="auto"/>
              <w:right w:val="single" w:sz="4" w:space="0" w:color="auto"/>
            </w:tcBorders>
            <w:shd w:val="clear" w:color="auto" w:fill="auto"/>
            <w:noWrap/>
            <w:vAlign w:val="bottom"/>
            <w:hideMark/>
          </w:tcPr>
          <w:p w:rsidR="0047700B" w:rsidRPr="00211D4D" w:rsidRDefault="0047700B" w:rsidP="0047700B">
            <w:pPr>
              <w:rPr>
                <w:rFonts w:ascii="Book Antiqua" w:eastAsia="Times New Roman" w:hAnsi="Book Antiqua" w:cs="Times New Roman"/>
                <w:color w:val="000000"/>
                <w:lang w:eastAsia="en-IN"/>
              </w:rPr>
            </w:pPr>
            <w:r w:rsidRPr="00211D4D">
              <w:rPr>
                <w:rFonts w:ascii="Book Antiqua" w:eastAsia="Times New Roman" w:hAnsi="Book Antiqua" w:cs="Times New Roman"/>
                <w:color w:val="000000"/>
                <w:lang w:eastAsia="en-IN"/>
              </w:rPr>
              <w:t xml:space="preserve">FPPPA Subsidy </w:t>
            </w:r>
          </w:p>
        </w:tc>
        <w:tc>
          <w:tcPr>
            <w:tcW w:w="2384" w:type="dxa"/>
            <w:tcBorders>
              <w:top w:val="nil"/>
              <w:left w:val="nil"/>
              <w:bottom w:val="single" w:sz="4" w:space="0" w:color="auto"/>
              <w:right w:val="single" w:sz="4" w:space="0" w:color="auto"/>
            </w:tcBorders>
            <w:shd w:val="clear" w:color="auto" w:fill="auto"/>
            <w:noWrap/>
            <w:vAlign w:val="bottom"/>
            <w:hideMark/>
          </w:tcPr>
          <w:p w:rsidR="0047700B" w:rsidRPr="00211D4D" w:rsidRDefault="0047700B" w:rsidP="005A07FE">
            <w:pPr>
              <w:jc w:val="right"/>
              <w:rPr>
                <w:rFonts w:ascii="Book Antiqua" w:eastAsia="Times New Roman" w:hAnsi="Book Antiqua" w:cs="Times New Roman"/>
                <w:color w:val="000000"/>
                <w:lang w:eastAsia="en-IN"/>
              </w:rPr>
            </w:pPr>
            <w:r w:rsidRPr="00211D4D">
              <w:rPr>
                <w:rFonts w:ascii="Book Antiqua" w:eastAsia="Times New Roman" w:hAnsi="Book Antiqua" w:cs="Times New Roman"/>
                <w:color w:val="000000"/>
                <w:lang w:eastAsia="en-IN"/>
              </w:rPr>
              <w:t xml:space="preserve"> 1,57,739.62 </w:t>
            </w:r>
          </w:p>
        </w:tc>
      </w:tr>
      <w:tr w:rsidR="0047700B" w:rsidRPr="00211D4D" w:rsidTr="007D4215">
        <w:trPr>
          <w:trHeight w:val="344"/>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47700B" w:rsidRPr="00211D4D" w:rsidRDefault="005D19A2" w:rsidP="0047700B">
            <w:pPr>
              <w:jc w:val="center"/>
              <w:rPr>
                <w:rFonts w:ascii="Book Antiqua" w:eastAsia="Times New Roman" w:hAnsi="Book Antiqua" w:cs="Times New Roman"/>
                <w:color w:val="000000"/>
                <w:lang w:eastAsia="en-IN"/>
              </w:rPr>
            </w:pPr>
            <w:r>
              <w:rPr>
                <w:rFonts w:ascii="Book Antiqua" w:eastAsia="Times New Roman" w:hAnsi="Book Antiqua" w:cs="Times New Roman"/>
                <w:color w:val="000000"/>
                <w:lang w:eastAsia="en-IN"/>
              </w:rPr>
              <w:t>3</w:t>
            </w:r>
          </w:p>
        </w:tc>
        <w:tc>
          <w:tcPr>
            <w:tcW w:w="5360" w:type="dxa"/>
            <w:tcBorders>
              <w:top w:val="nil"/>
              <w:left w:val="nil"/>
              <w:bottom w:val="single" w:sz="4" w:space="0" w:color="auto"/>
              <w:right w:val="single" w:sz="4" w:space="0" w:color="auto"/>
            </w:tcBorders>
            <w:shd w:val="clear" w:color="auto" w:fill="auto"/>
            <w:noWrap/>
            <w:vAlign w:val="bottom"/>
            <w:hideMark/>
          </w:tcPr>
          <w:p w:rsidR="0047700B" w:rsidRPr="00211D4D" w:rsidRDefault="0047700B" w:rsidP="0047700B">
            <w:pPr>
              <w:rPr>
                <w:rFonts w:ascii="Book Antiqua" w:eastAsia="Times New Roman" w:hAnsi="Book Antiqua" w:cs="Times New Roman"/>
                <w:color w:val="000000"/>
                <w:lang w:eastAsia="en-IN"/>
              </w:rPr>
            </w:pPr>
            <w:r w:rsidRPr="00211D4D">
              <w:rPr>
                <w:rFonts w:ascii="Book Antiqua" w:eastAsia="Times New Roman" w:hAnsi="Book Antiqua" w:cs="Times New Roman"/>
                <w:color w:val="000000"/>
                <w:lang w:eastAsia="en-IN"/>
              </w:rPr>
              <w:t>AG SUBSIDY</w:t>
            </w:r>
          </w:p>
        </w:tc>
        <w:tc>
          <w:tcPr>
            <w:tcW w:w="2384" w:type="dxa"/>
            <w:tcBorders>
              <w:top w:val="nil"/>
              <w:left w:val="nil"/>
              <w:bottom w:val="single" w:sz="4" w:space="0" w:color="auto"/>
              <w:right w:val="single" w:sz="4" w:space="0" w:color="auto"/>
            </w:tcBorders>
            <w:shd w:val="clear" w:color="auto" w:fill="auto"/>
            <w:noWrap/>
            <w:vAlign w:val="bottom"/>
            <w:hideMark/>
          </w:tcPr>
          <w:p w:rsidR="0047700B" w:rsidRPr="00211D4D" w:rsidRDefault="0047700B" w:rsidP="005A07FE">
            <w:pPr>
              <w:jc w:val="right"/>
              <w:rPr>
                <w:rFonts w:ascii="Book Antiqua" w:eastAsia="Times New Roman" w:hAnsi="Book Antiqua" w:cs="Times New Roman"/>
                <w:color w:val="000000"/>
                <w:lang w:eastAsia="en-IN"/>
              </w:rPr>
            </w:pPr>
            <w:r w:rsidRPr="00211D4D">
              <w:rPr>
                <w:rFonts w:ascii="Book Antiqua" w:eastAsia="Times New Roman" w:hAnsi="Book Antiqua" w:cs="Times New Roman"/>
                <w:color w:val="000000"/>
                <w:lang w:eastAsia="en-IN"/>
              </w:rPr>
              <w:t xml:space="preserve">     54,068.35 </w:t>
            </w:r>
          </w:p>
        </w:tc>
      </w:tr>
      <w:tr w:rsidR="0047700B" w:rsidRPr="00211D4D" w:rsidTr="007D4215">
        <w:trPr>
          <w:trHeight w:val="344"/>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rsidR="0047700B" w:rsidRPr="00211D4D" w:rsidRDefault="0047700B" w:rsidP="0047700B">
            <w:pPr>
              <w:jc w:val="center"/>
              <w:rPr>
                <w:rFonts w:ascii="Book Antiqua" w:eastAsia="Times New Roman" w:hAnsi="Book Antiqua" w:cs="Times New Roman"/>
                <w:b/>
                <w:bCs/>
                <w:color w:val="000000"/>
                <w:lang w:eastAsia="en-IN"/>
              </w:rPr>
            </w:pPr>
            <w:r w:rsidRPr="00211D4D">
              <w:rPr>
                <w:rFonts w:ascii="Book Antiqua" w:eastAsia="Times New Roman" w:hAnsi="Book Antiqua" w:cs="Times New Roman"/>
                <w:b/>
                <w:bCs/>
                <w:color w:val="000000"/>
                <w:lang w:eastAsia="en-IN"/>
              </w:rPr>
              <w:t> </w:t>
            </w:r>
          </w:p>
        </w:tc>
        <w:tc>
          <w:tcPr>
            <w:tcW w:w="5360" w:type="dxa"/>
            <w:tcBorders>
              <w:top w:val="nil"/>
              <w:left w:val="nil"/>
              <w:bottom w:val="single" w:sz="4" w:space="0" w:color="auto"/>
              <w:right w:val="single" w:sz="4" w:space="0" w:color="auto"/>
            </w:tcBorders>
            <w:shd w:val="clear" w:color="auto" w:fill="auto"/>
            <w:noWrap/>
            <w:vAlign w:val="bottom"/>
            <w:hideMark/>
          </w:tcPr>
          <w:p w:rsidR="0047700B" w:rsidRPr="00211D4D" w:rsidRDefault="0047700B" w:rsidP="0047700B">
            <w:pPr>
              <w:jc w:val="center"/>
              <w:rPr>
                <w:rFonts w:ascii="Book Antiqua" w:eastAsia="Times New Roman" w:hAnsi="Book Antiqua" w:cs="Times New Roman"/>
                <w:b/>
                <w:bCs/>
                <w:color w:val="000000"/>
                <w:lang w:eastAsia="en-IN"/>
              </w:rPr>
            </w:pPr>
            <w:r w:rsidRPr="00211D4D">
              <w:rPr>
                <w:rFonts w:ascii="Book Antiqua" w:eastAsia="Times New Roman" w:hAnsi="Book Antiqua" w:cs="Times New Roman"/>
                <w:b/>
                <w:bCs/>
                <w:color w:val="000000"/>
                <w:lang w:eastAsia="en-IN"/>
              </w:rPr>
              <w:t xml:space="preserve">Total Subsidy </w:t>
            </w:r>
          </w:p>
        </w:tc>
        <w:tc>
          <w:tcPr>
            <w:tcW w:w="2384" w:type="dxa"/>
            <w:tcBorders>
              <w:top w:val="nil"/>
              <w:left w:val="nil"/>
              <w:bottom w:val="single" w:sz="4" w:space="0" w:color="auto"/>
              <w:right w:val="single" w:sz="4" w:space="0" w:color="auto"/>
            </w:tcBorders>
            <w:shd w:val="clear" w:color="auto" w:fill="auto"/>
            <w:noWrap/>
            <w:vAlign w:val="bottom"/>
            <w:hideMark/>
          </w:tcPr>
          <w:p w:rsidR="0047700B" w:rsidRPr="00211D4D" w:rsidRDefault="0047700B" w:rsidP="005A07FE">
            <w:pPr>
              <w:jc w:val="right"/>
              <w:rPr>
                <w:rFonts w:ascii="Book Antiqua" w:eastAsia="Times New Roman" w:hAnsi="Book Antiqua" w:cs="Times New Roman"/>
                <w:b/>
                <w:bCs/>
                <w:color w:val="000000"/>
                <w:lang w:eastAsia="en-IN"/>
              </w:rPr>
            </w:pPr>
            <w:r w:rsidRPr="00211D4D">
              <w:rPr>
                <w:rFonts w:ascii="Book Antiqua" w:eastAsia="Times New Roman" w:hAnsi="Book Antiqua" w:cs="Times New Roman"/>
                <w:b/>
                <w:bCs/>
                <w:color w:val="000000"/>
                <w:lang w:eastAsia="en-IN"/>
              </w:rPr>
              <w:t xml:space="preserve"> 3,05,555.53 </w:t>
            </w:r>
          </w:p>
        </w:tc>
      </w:tr>
    </w:tbl>
    <w:p w:rsidR="00E00FE1" w:rsidRDefault="00E00FE1" w:rsidP="00E00FE1">
      <w:pPr>
        <w:spacing w:after="240" w:line="276" w:lineRule="auto"/>
        <w:ind w:left="629"/>
        <w:jc w:val="both"/>
        <w:rPr>
          <w:color w:val="000000"/>
          <w:sz w:val="22"/>
          <w:szCs w:val="22"/>
        </w:rPr>
      </w:pPr>
    </w:p>
    <w:p w:rsidR="00D20D68" w:rsidRPr="00A25C26" w:rsidRDefault="00D20D68">
      <w:pPr>
        <w:numPr>
          <w:ilvl w:val="0"/>
          <w:numId w:val="9"/>
        </w:numPr>
        <w:spacing w:after="240" w:line="276" w:lineRule="auto"/>
        <w:ind w:left="629" w:hanging="357"/>
        <w:jc w:val="both"/>
        <w:rPr>
          <w:b/>
          <w:bCs/>
          <w:color w:val="000000"/>
        </w:rPr>
      </w:pPr>
      <w:r w:rsidRPr="00A25C26">
        <w:rPr>
          <w:rFonts w:ascii="Book Antiqua" w:hAnsi="Book Antiqua"/>
          <w:b/>
          <w:bCs/>
          <w:color w:val="000000"/>
        </w:rPr>
        <w:t>Furnish details of the loan, if any, converted into grant during FY 2018-19. Also furnish impact of such conversion on various elements of ARR</w:t>
      </w:r>
      <w:r w:rsidR="0047700B" w:rsidRPr="00A25C26">
        <w:rPr>
          <w:rFonts w:ascii="Book Antiqua" w:hAnsi="Book Antiqua"/>
          <w:b/>
          <w:bCs/>
          <w:color w:val="000000"/>
        </w:rPr>
        <w:t>.</w:t>
      </w:r>
    </w:p>
    <w:p w:rsidR="0047700B" w:rsidRDefault="0047700B" w:rsidP="005C597E">
      <w:pPr>
        <w:spacing w:after="240" w:line="276" w:lineRule="auto"/>
        <w:ind w:left="272"/>
        <w:jc w:val="both"/>
        <w:rPr>
          <w:rFonts w:ascii="Book Antiqua" w:hAnsi="Book Antiqua"/>
          <w:color w:val="000000"/>
        </w:rPr>
      </w:pPr>
      <w:r w:rsidRPr="00A25C26">
        <w:rPr>
          <w:rFonts w:ascii="Book Antiqua" w:hAnsi="Book Antiqua"/>
          <w:b/>
          <w:bCs/>
          <w:color w:val="000000"/>
        </w:rPr>
        <w:t>Compliance: -</w:t>
      </w:r>
      <w:r w:rsidRPr="0047700B">
        <w:rPr>
          <w:rFonts w:ascii="Book Antiqua" w:hAnsi="Book Antiqua"/>
          <w:color w:val="000000"/>
        </w:rPr>
        <w:t>No loan has been converted into grant during FY 2018-19</w:t>
      </w:r>
    </w:p>
    <w:p w:rsidR="000E4BCD" w:rsidRDefault="000E4BCD" w:rsidP="00A25C26">
      <w:pPr>
        <w:spacing w:after="240" w:line="276" w:lineRule="auto"/>
        <w:jc w:val="both"/>
        <w:rPr>
          <w:color w:val="000000"/>
        </w:rPr>
      </w:pPr>
    </w:p>
    <w:p w:rsidR="00D2208E" w:rsidRPr="00A25C26" w:rsidRDefault="00D20D68" w:rsidP="00C63E54">
      <w:pPr>
        <w:numPr>
          <w:ilvl w:val="0"/>
          <w:numId w:val="9"/>
        </w:numPr>
        <w:spacing w:after="240" w:line="276" w:lineRule="auto"/>
        <w:ind w:left="629" w:hanging="357"/>
        <w:rPr>
          <w:b/>
          <w:bCs/>
          <w:color w:val="000000"/>
        </w:rPr>
      </w:pPr>
      <w:r w:rsidRPr="00A25C26">
        <w:rPr>
          <w:rFonts w:ascii="Book Antiqua" w:hAnsi="Book Antiqua"/>
          <w:b/>
          <w:bCs/>
          <w:color w:val="000000"/>
        </w:rPr>
        <w:lastRenderedPageBreak/>
        <w:t>Furnish the certificate from CAG on Annual Accounts of the Company for FY 2018-19</w:t>
      </w:r>
      <w:r w:rsidR="00C63E54" w:rsidRPr="00A25C26">
        <w:rPr>
          <w:rFonts w:ascii="Book Antiqua" w:hAnsi="Book Antiqua"/>
          <w:b/>
          <w:bCs/>
          <w:color w:val="000000"/>
        </w:rPr>
        <w:t>.</w:t>
      </w:r>
    </w:p>
    <w:p w:rsidR="000E4BCD" w:rsidRPr="007D4215" w:rsidRDefault="00D2208E" w:rsidP="007D4215">
      <w:pPr>
        <w:spacing w:after="240" w:line="276" w:lineRule="auto"/>
        <w:ind w:left="360"/>
        <w:rPr>
          <w:rFonts w:ascii="Book Antiqua" w:hAnsi="Book Antiqua"/>
          <w:color w:val="000000"/>
        </w:rPr>
      </w:pPr>
      <w:r w:rsidRPr="00A25C26">
        <w:rPr>
          <w:rFonts w:ascii="Book Antiqua" w:hAnsi="Book Antiqua"/>
          <w:b/>
          <w:bCs/>
          <w:color w:val="000000"/>
        </w:rPr>
        <w:t>Compliance: -</w:t>
      </w:r>
      <w:r w:rsidR="00C63E54" w:rsidRPr="007D4215">
        <w:rPr>
          <w:rFonts w:ascii="Book Antiqua" w:hAnsi="Book Antiqua"/>
          <w:color w:val="000000"/>
        </w:rPr>
        <w:t xml:space="preserve">Provided in </w:t>
      </w:r>
      <w:r w:rsidR="00C63E54" w:rsidRPr="00B35C90">
        <w:rPr>
          <w:rFonts w:ascii="Book Antiqua" w:hAnsi="Book Antiqua"/>
          <w:b/>
          <w:bCs/>
          <w:color w:val="000000"/>
          <w:u w:val="single"/>
        </w:rPr>
        <w:t xml:space="preserve">Annexure </w:t>
      </w:r>
      <w:r w:rsidR="000E4BCD" w:rsidRPr="00B35C90">
        <w:rPr>
          <w:rFonts w:ascii="Book Antiqua" w:hAnsi="Book Antiqua"/>
          <w:b/>
          <w:bCs/>
          <w:color w:val="000000"/>
          <w:u w:val="single"/>
        </w:rPr>
        <w:t>–G</w:t>
      </w:r>
      <w:r w:rsidR="00B35C90">
        <w:rPr>
          <w:rFonts w:ascii="Book Antiqua" w:hAnsi="Book Antiqua"/>
          <w:color w:val="000000"/>
          <w:u w:val="single"/>
        </w:rPr>
        <w:t>.</w:t>
      </w:r>
    </w:p>
    <w:p w:rsidR="00D20D68" w:rsidRPr="007D4215" w:rsidRDefault="00D20D68" w:rsidP="005C597E">
      <w:pPr>
        <w:spacing w:after="240" w:line="276" w:lineRule="auto"/>
        <w:contextualSpacing/>
        <w:jc w:val="both"/>
        <w:rPr>
          <w:rFonts w:ascii="Book Antiqua" w:hAnsi="Book Antiqua"/>
          <w:color w:val="000000"/>
        </w:rPr>
      </w:pPr>
      <w:r>
        <w:rPr>
          <w:rFonts w:ascii="Book Antiqua" w:hAnsi="Book Antiqua"/>
          <w:color w:val="000000"/>
        </w:rPr>
        <w:t> </w:t>
      </w:r>
    </w:p>
    <w:p w:rsidR="00D20D68" w:rsidRPr="005C597E" w:rsidRDefault="00D20D68" w:rsidP="005C597E">
      <w:pPr>
        <w:numPr>
          <w:ilvl w:val="0"/>
          <w:numId w:val="1"/>
        </w:numPr>
        <w:spacing w:after="240" w:line="312" w:lineRule="atLeast"/>
        <w:ind w:left="714" w:hanging="357"/>
        <w:jc w:val="both"/>
        <w:rPr>
          <w:rFonts w:ascii="Book Antiqua" w:eastAsia="Times New Roman" w:hAnsi="Book Antiqua"/>
          <w:b/>
          <w:bCs/>
          <w:color w:val="000000"/>
          <w:sz w:val="28"/>
          <w:szCs w:val="28"/>
        </w:rPr>
      </w:pPr>
      <w:r w:rsidRPr="005C597E">
        <w:rPr>
          <w:rFonts w:ascii="Book Antiqua" w:eastAsia="Times New Roman" w:hAnsi="Book Antiqua"/>
          <w:b/>
          <w:bCs/>
          <w:color w:val="000000"/>
          <w:sz w:val="28"/>
          <w:szCs w:val="28"/>
        </w:rPr>
        <w:t>Tariff for FY 2020-21</w:t>
      </w:r>
    </w:p>
    <w:p w:rsidR="00D20D68" w:rsidRPr="005C597E" w:rsidRDefault="00D20D68">
      <w:pPr>
        <w:numPr>
          <w:ilvl w:val="0"/>
          <w:numId w:val="11"/>
        </w:numPr>
        <w:spacing w:after="240" w:line="276" w:lineRule="auto"/>
        <w:ind w:left="630"/>
        <w:contextualSpacing/>
        <w:jc w:val="both"/>
        <w:rPr>
          <w:color w:val="000000"/>
        </w:rPr>
      </w:pPr>
      <w:r>
        <w:rPr>
          <w:rFonts w:ascii="Book Antiqua" w:hAnsi="Book Antiqua"/>
          <w:color w:val="000000"/>
        </w:rPr>
        <w:t>UGVCL has stated in para 4.8.1 that ‘part of estimated revenue gap will be mitigated through efficiency measures.’ UGVCL should list out the efficiency measures proposed to be undertaken and detailed procedure on how the gap will be mitigated through these measures.</w:t>
      </w:r>
    </w:p>
    <w:p w:rsidR="00C63E54" w:rsidRDefault="00C63E54" w:rsidP="00C63E54">
      <w:pPr>
        <w:spacing w:after="240" w:line="276" w:lineRule="auto"/>
        <w:ind w:left="630"/>
        <w:contextualSpacing/>
        <w:jc w:val="both"/>
        <w:rPr>
          <w:rFonts w:ascii="Book Antiqua" w:hAnsi="Book Antiqua"/>
          <w:color w:val="000000"/>
        </w:rPr>
      </w:pPr>
      <w:r>
        <w:rPr>
          <w:rFonts w:ascii="Book Antiqua" w:hAnsi="Book Antiqua"/>
          <w:color w:val="000000"/>
        </w:rPr>
        <w:t>Compliance: -</w:t>
      </w:r>
    </w:p>
    <w:p w:rsidR="00C63E54" w:rsidRPr="00B92235" w:rsidRDefault="00C63E54" w:rsidP="00C63E54">
      <w:pPr>
        <w:pStyle w:val="ListParagraph"/>
        <w:spacing w:after="120" w:line="312" w:lineRule="auto"/>
        <w:ind w:left="709"/>
        <w:jc w:val="both"/>
        <w:rPr>
          <w:rFonts w:ascii="Book Antiqua" w:hAnsi="Book Antiqua"/>
          <w:sz w:val="24"/>
          <w:szCs w:val="24"/>
          <w:lang w:val="en-GB"/>
        </w:rPr>
      </w:pPr>
      <w:r w:rsidRPr="00B92235">
        <w:rPr>
          <w:rFonts w:ascii="Book Antiqua" w:hAnsi="Book Antiqua"/>
          <w:sz w:val="24"/>
          <w:szCs w:val="24"/>
          <w:lang w:val="en-GB"/>
        </w:rPr>
        <w:t>As mentioned in the petition, it is envisaged that part of estimated revenue gap will be mitigated through efficiency measures such as:</w:t>
      </w:r>
    </w:p>
    <w:p w:rsidR="00C63E54" w:rsidRPr="00B92235" w:rsidRDefault="00C63E54" w:rsidP="00C63E54">
      <w:pPr>
        <w:pStyle w:val="ListParagraph"/>
        <w:numPr>
          <w:ilvl w:val="0"/>
          <w:numId w:val="19"/>
        </w:numPr>
        <w:spacing w:after="120" w:line="312" w:lineRule="auto"/>
        <w:jc w:val="both"/>
        <w:rPr>
          <w:rFonts w:ascii="Book Antiqua" w:hAnsi="Book Antiqua"/>
          <w:sz w:val="24"/>
          <w:szCs w:val="24"/>
          <w:lang w:val="en-GB"/>
        </w:rPr>
      </w:pPr>
      <w:r w:rsidRPr="00B92235">
        <w:rPr>
          <w:rFonts w:ascii="Book Antiqua" w:hAnsi="Book Antiqua"/>
          <w:sz w:val="24"/>
          <w:szCs w:val="24"/>
          <w:lang w:val="en-GB"/>
        </w:rPr>
        <w:t>reduction in distribution losses,</w:t>
      </w:r>
    </w:p>
    <w:p w:rsidR="00C63E54" w:rsidRPr="00B92235" w:rsidRDefault="00C63E54" w:rsidP="00C63E54">
      <w:pPr>
        <w:pStyle w:val="ListParagraph"/>
        <w:numPr>
          <w:ilvl w:val="0"/>
          <w:numId w:val="19"/>
        </w:numPr>
        <w:spacing w:after="120" w:line="312" w:lineRule="auto"/>
        <w:jc w:val="both"/>
        <w:rPr>
          <w:rFonts w:ascii="Book Antiqua" w:hAnsi="Book Antiqua"/>
          <w:sz w:val="24"/>
          <w:szCs w:val="24"/>
          <w:lang w:val="en-GB"/>
        </w:rPr>
      </w:pPr>
      <w:r w:rsidRPr="00B92235">
        <w:rPr>
          <w:rFonts w:ascii="Book Antiqua" w:hAnsi="Book Antiqua"/>
          <w:sz w:val="24"/>
          <w:szCs w:val="24"/>
          <w:lang w:val="en-GB"/>
        </w:rPr>
        <w:t>reduction in technical losses due to network strengthening / modernisation of distribution network,</w:t>
      </w:r>
    </w:p>
    <w:p w:rsidR="00C63E54" w:rsidRPr="00B92235" w:rsidRDefault="00C63E54" w:rsidP="00C63E54">
      <w:pPr>
        <w:pStyle w:val="ListParagraph"/>
        <w:numPr>
          <w:ilvl w:val="0"/>
          <w:numId w:val="19"/>
        </w:numPr>
        <w:spacing w:after="120" w:line="312" w:lineRule="auto"/>
        <w:jc w:val="both"/>
        <w:rPr>
          <w:rFonts w:ascii="Book Antiqua" w:hAnsi="Book Antiqua"/>
          <w:sz w:val="24"/>
          <w:szCs w:val="24"/>
          <w:lang w:val="en-GB"/>
        </w:rPr>
      </w:pPr>
      <w:r w:rsidRPr="00B92235">
        <w:rPr>
          <w:rFonts w:ascii="Book Antiqua" w:hAnsi="Book Antiqua"/>
          <w:sz w:val="24"/>
          <w:szCs w:val="24"/>
          <w:lang w:val="en-GB"/>
        </w:rPr>
        <w:t xml:space="preserve">Economisation in power purchase cost etc. </w:t>
      </w:r>
    </w:p>
    <w:p w:rsidR="00C63E54" w:rsidRDefault="00C63E54" w:rsidP="005C597E">
      <w:pPr>
        <w:spacing w:after="240" w:line="276" w:lineRule="auto"/>
        <w:ind w:left="630"/>
        <w:contextualSpacing/>
        <w:jc w:val="both"/>
        <w:rPr>
          <w:color w:val="000000"/>
        </w:rPr>
      </w:pPr>
    </w:p>
    <w:p w:rsidR="00D20D68" w:rsidRDefault="00D20D68" w:rsidP="005C597E">
      <w:pPr>
        <w:spacing w:after="240" w:line="276" w:lineRule="auto"/>
        <w:contextualSpacing/>
        <w:jc w:val="both"/>
        <w:rPr>
          <w:color w:val="000000"/>
          <w:sz w:val="22"/>
          <w:szCs w:val="22"/>
        </w:rPr>
      </w:pPr>
      <w:r>
        <w:rPr>
          <w:rFonts w:ascii="Book Antiqua" w:hAnsi="Book Antiqua"/>
          <w:color w:val="000000"/>
        </w:rPr>
        <w:t> </w:t>
      </w:r>
    </w:p>
    <w:p w:rsidR="00D20D68" w:rsidRPr="005C597E" w:rsidRDefault="00D20D68" w:rsidP="005C597E">
      <w:pPr>
        <w:numPr>
          <w:ilvl w:val="0"/>
          <w:numId w:val="1"/>
        </w:numPr>
        <w:spacing w:after="240" w:line="312" w:lineRule="atLeast"/>
        <w:ind w:left="714" w:hanging="357"/>
        <w:jc w:val="both"/>
        <w:rPr>
          <w:rFonts w:ascii="Book Antiqua" w:eastAsia="Times New Roman" w:hAnsi="Book Antiqua"/>
          <w:b/>
          <w:bCs/>
          <w:color w:val="000000"/>
          <w:sz w:val="28"/>
          <w:szCs w:val="28"/>
        </w:rPr>
      </w:pPr>
      <w:r w:rsidRPr="005C597E">
        <w:rPr>
          <w:rFonts w:ascii="Book Antiqua" w:eastAsia="Times New Roman" w:hAnsi="Book Antiqua"/>
          <w:b/>
          <w:bCs/>
          <w:color w:val="000000"/>
          <w:sz w:val="28"/>
          <w:szCs w:val="28"/>
        </w:rPr>
        <w:t>Compliance to Directives</w:t>
      </w:r>
    </w:p>
    <w:p w:rsidR="00D20D68" w:rsidRPr="00B35C90" w:rsidRDefault="00D20D68" w:rsidP="005C597E">
      <w:pPr>
        <w:numPr>
          <w:ilvl w:val="0"/>
          <w:numId w:val="13"/>
        </w:numPr>
        <w:spacing w:after="240" w:line="276" w:lineRule="auto"/>
        <w:ind w:left="629" w:hanging="357"/>
        <w:jc w:val="both"/>
        <w:rPr>
          <w:b/>
          <w:bCs/>
          <w:color w:val="000000"/>
        </w:rPr>
      </w:pPr>
      <w:r w:rsidRPr="00B35C90">
        <w:rPr>
          <w:rFonts w:ascii="Book Antiqua" w:hAnsi="Book Antiqua"/>
          <w:b/>
          <w:bCs/>
          <w:color w:val="000000"/>
        </w:rPr>
        <w:t>UGVCL should submit the timeline for submission of Cost to Serve Report.</w:t>
      </w:r>
    </w:p>
    <w:p w:rsidR="001E0CD1" w:rsidRDefault="00B35C90" w:rsidP="001E0CD1">
      <w:pPr>
        <w:spacing w:after="240" w:line="276" w:lineRule="auto"/>
        <w:ind w:left="272"/>
        <w:jc w:val="both"/>
        <w:rPr>
          <w:color w:val="000000"/>
        </w:rPr>
      </w:pPr>
      <w:r w:rsidRPr="00960B80">
        <w:rPr>
          <w:rFonts w:ascii="Book Antiqua" w:eastAsia="Times New Roman" w:hAnsi="Book Antiqua"/>
          <w:color w:val="000000"/>
        </w:rPr>
        <w:t>Cost of Service Report will be submitted to Hon’ble Commission in due course.</w:t>
      </w:r>
    </w:p>
    <w:p w:rsidR="00D20D68" w:rsidRPr="00B35C90" w:rsidRDefault="00D20D68" w:rsidP="00A25C26">
      <w:pPr>
        <w:numPr>
          <w:ilvl w:val="0"/>
          <w:numId w:val="13"/>
        </w:numPr>
        <w:spacing w:after="240" w:line="276" w:lineRule="auto"/>
        <w:ind w:left="629" w:hanging="357"/>
        <w:jc w:val="center"/>
        <w:rPr>
          <w:b/>
          <w:bCs/>
          <w:color w:val="000000"/>
        </w:rPr>
      </w:pPr>
      <w:r w:rsidRPr="00B35C90">
        <w:rPr>
          <w:rFonts w:ascii="Book Antiqua" w:hAnsi="Book Antiqua"/>
          <w:b/>
          <w:bCs/>
          <w:color w:val="000000"/>
        </w:rPr>
        <w:t>UGVCL should submit the actual number of defective meters in FY 2017-18, FY 2018-29, and FY 2019-20 (till September 2019), as per the following format:</w:t>
      </w:r>
    </w:p>
    <w:p w:rsidR="00D20D68" w:rsidRDefault="00D20D68" w:rsidP="00A25C26">
      <w:pPr>
        <w:spacing w:after="240" w:line="276" w:lineRule="auto"/>
        <w:ind w:left="630"/>
        <w:contextualSpacing/>
        <w:jc w:val="center"/>
        <w:rPr>
          <w:color w:val="000000"/>
        </w:rPr>
      </w:pPr>
    </w:p>
    <w:tbl>
      <w:tblPr>
        <w:tblW w:w="8348" w:type="dxa"/>
        <w:tblInd w:w="270" w:type="dxa"/>
        <w:tblCellMar>
          <w:left w:w="0" w:type="dxa"/>
          <w:right w:w="0" w:type="dxa"/>
        </w:tblCellMar>
        <w:tblLook w:val="04A0"/>
      </w:tblPr>
      <w:tblGrid>
        <w:gridCol w:w="504"/>
        <w:gridCol w:w="2517"/>
        <w:gridCol w:w="1667"/>
        <w:gridCol w:w="1550"/>
        <w:gridCol w:w="2110"/>
      </w:tblGrid>
      <w:tr w:rsidR="00D20D68" w:rsidRPr="00A25C26" w:rsidTr="00A25C26">
        <w:tc>
          <w:tcPr>
            <w:tcW w:w="455" w:type="dxa"/>
            <w:tcBorders>
              <w:top w:val="single" w:sz="8" w:space="0" w:color="auto"/>
              <w:left w:val="single" w:sz="8" w:space="0" w:color="auto"/>
              <w:bottom w:val="single" w:sz="8" w:space="0" w:color="auto"/>
              <w:right w:val="single" w:sz="8" w:space="0" w:color="auto"/>
            </w:tcBorders>
            <w:shd w:val="clear" w:color="auto" w:fill="FABF8F" w:themeFill="accent6" w:themeFillTint="99"/>
            <w:tcMar>
              <w:top w:w="0" w:type="dxa"/>
              <w:left w:w="108" w:type="dxa"/>
              <w:bottom w:w="0" w:type="dxa"/>
              <w:right w:w="108" w:type="dxa"/>
            </w:tcMar>
            <w:vAlign w:val="center"/>
            <w:hideMark/>
          </w:tcPr>
          <w:p w:rsidR="00D20D68" w:rsidRPr="00A25C26" w:rsidRDefault="00D20D68" w:rsidP="00A25C26">
            <w:pPr>
              <w:spacing w:after="240" w:line="276" w:lineRule="auto"/>
              <w:contextualSpacing/>
              <w:jc w:val="center"/>
              <w:rPr>
                <w:rFonts w:ascii="Book Antiqua" w:hAnsi="Book Antiqua"/>
              </w:rPr>
            </w:pPr>
            <w:r w:rsidRPr="00A25C26">
              <w:rPr>
                <w:rFonts w:ascii="Book Antiqua" w:hAnsi="Book Antiqua"/>
                <w:b/>
                <w:bCs/>
              </w:rPr>
              <w:t>Sl.</w:t>
            </w:r>
          </w:p>
        </w:tc>
        <w:tc>
          <w:tcPr>
            <w:tcW w:w="2531" w:type="dxa"/>
            <w:tcBorders>
              <w:top w:val="single" w:sz="8" w:space="0" w:color="auto"/>
              <w:left w:val="nil"/>
              <w:bottom w:val="single" w:sz="8" w:space="0" w:color="auto"/>
              <w:right w:val="single" w:sz="8" w:space="0" w:color="auto"/>
            </w:tcBorders>
            <w:shd w:val="clear" w:color="auto" w:fill="FABF8F" w:themeFill="accent6" w:themeFillTint="99"/>
            <w:tcMar>
              <w:top w:w="0" w:type="dxa"/>
              <w:left w:w="108" w:type="dxa"/>
              <w:bottom w:w="0" w:type="dxa"/>
              <w:right w:w="108" w:type="dxa"/>
            </w:tcMar>
            <w:vAlign w:val="center"/>
            <w:hideMark/>
          </w:tcPr>
          <w:p w:rsidR="00D20D68" w:rsidRPr="00A25C26" w:rsidRDefault="00D20D68" w:rsidP="00A25C26">
            <w:pPr>
              <w:spacing w:after="240" w:line="276" w:lineRule="auto"/>
              <w:contextualSpacing/>
              <w:jc w:val="center"/>
              <w:rPr>
                <w:rFonts w:ascii="Book Antiqua" w:hAnsi="Book Antiqua"/>
              </w:rPr>
            </w:pPr>
            <w:r w:rsidRPr="00A25C26">
              <w:rPr>
                <w:rFonts w:ascii="Book Antiqua" w:hAnsi="Book Antiqua"/>
                <w:b/>
                <w:bCs/>
              </w:rPr>
              <w:t>Particulars</w:t>
            </w:r>
          </w:p>
        </w:tc>
        <w:tc>
          <w:tcPr>
            <w:tcW w:w="1677" w:type="dxa"/>
            <w:tcBorders>
              <w:top w:val="single" w:sz="8" w:space="0" w:color="auto"/>
              <w:left w:val="nil"/>
              <w:bottom w:val="single" w:sz="8" w:space="0" w:color="auto"/>
              <w:right w:val="single" w:sz="8" w:space="0" w:color="auto"/>
            </w:tcBorders>
            <w:shd w:val="clear" w:color="auto" w:fill="FABF8F" w:themeFill="accent6" w:themeFillTint="99"/>
            <w:tcMar>
              <w:top w:w="0" w:type="dxa"/>
              <w:left w:w="108" w:type="dxa"/>
              <w:bottom w:w="0" w:type="dxa"/>
              <w:right w:w="108" w:type="dxa"/>
            </w:tcMar>
            <w:vAlign w:val="center"/>
            <w:hideMark/>
          </w:tcPr>
          <w:p w:rsidR="00D20D68" w:rsidRPr="00A25C26" w:rsidRDefault="00D20D68" w:rsidP="00A25C26">
            <w:pPr>
              <w:spacing w:after="240" w:line="276" w:lineRule="auto"/>
              <w:contextualSpacing/>
              <w:jc w:val="center"/>
              <w:rPr>
                <w:rFonts w:ascii="Book Antiqua" w:hAnsi="Book Antiqua"/>
              </w:rPr>
            </w:pPr>
            <w:r w:rsidRPr="00A25C26">
              <w:rPr>
                <w:rFonts w:ascii="Book Antiqua" w:hAnsi="Book Antiqua"/>
                <w:b/>
                <w:bCs/>
              </w:rPr>
              <w:t>FY 2017-18</w:t>
            </w:r>
          </w:p>
        </w:tc>
        <w:tc>
          <w:tcPr>
            <w:tcW w:w="1559" w:type="dxa"/>
            <w:tcBorders>
              <w:top w:val="single" w:sz="8" w:space="0" w:color="auto"/>
              <w:left w:val="nil"/>
              <w:bottom w:val="single" w:sz="8" w:space="0" w:color="auto"/>
              <w:right w:val="single" w:sz="8" w:space="0" w:color="auto"/>
            </w:tcBorders>
            <w:shd w:val="clear" w:color="auto" w:fill="FABF8F" w:themeFill="accent6" w:themeFillTint="99"/>
            <w:tcMar>
              <w:top w:w="0" w:type="dxa"/>
              <w:left w:w="108" w:type="dxa"/>
              <w:bottom w:w="0" w:type="dxa"/>
              <w:right w:w="108" w:type="dxa"/>
            </w:tcMar>
            <w:vAlign w:val="center"/>
            <w:hideMark/>
          </w:tcPr>
          <w:p w:rsidR="00D20D68" w:rsidRPr="00A25C26" w:rsidRDefault="00D20D68" w:rsidP="00A25C26">
            <w:pPr>
              <w:spacing w:after="240" w:line="276" w:lineRule="auto"/>
              <w:contextualSpacing/>
              <w:jc w:val="center"/>
              <w:rPr>
                <w:rFonts w:ascii="Book Antiqua" w:hAnsi="Book Antiqua"/>
              </w:rPr>
            </w:pPr>
            <w:r w:rsidRPr="00A25C26">
              <w:rPr>
                <w:rFonts w:ascii="Book Antiqua" w:hAnsi="Book Antiqua"/>
                <w:b/>
                <w:bCs/>
              </w:rPr>
              <w:t>FY 2018-19</w:t>
            </w:r>
          </w:p>
        </w:tc>
        <w:tc>
          <w:tcPr>
            <w:tcW w:w="2126" w:type="dxa"/>
            <w:tcBorders>
              <w:top w:val="single" w:sz="8" w:space="0" w:color="auto"/>
              <w:left w:val="nil"/>
              <w:bottom w:val="single" w:sz="8" w:space="0" w:color="auto"/>
              <w:right w:val="single" w:sz="8" w:space="0" w:color="auto"/>
            </w:tcBorders>
            <w:shd w:val="clear" w:color="auto" w:fill="FABF8F" w:themeFill="accent6" w:themeFillTint="99"/>
            <w:tcMar>
              <w:top w:w="0" w:type="dxa"/>
              <w:left w:w="108" w:type="dxa"/>
              <w:bottom w:w="0" w:type="dxa"/>
              <w:right w:w="108" w:type="dxa"/>
            </w:tcMar>
            <w:vAlign w:val="center"/>
            <w:hideMark/>
          </w:tcPr>
          <w:p w:rsidR="00A25C26" w:rsidRDefault="00D20D68" w:rsidP="00A25C26">
            <w:pPr>
              <w:spacing w:after="240" w:line="276" w:lineRule="auto"/>
              <w:contextualSpacing/>
              <w:jc w:val="center"/>
              <w:rPr>
                <w:rFonts w:ascii="Book Antiqua" w:hAnsi="Book Antiqua"/>
                <w:b/>
                <w:bCs/>
              </w:rPr>
            </w:pPr>
            <w:r w:rsidRPr="00A25C26">
              <w:rPr>
                <w:rFonts w:ascii="Book Antiqua" w:hAnsi="Book Antiqua"/>
                <w:b/>
                <w:bCs/>
              </w:rPr>
              <w:t>FY 2019-20</w:t>
            </w:r>
          </w:p>
          <w:p w:rsidR="00D20D68" w:rsidRPr="00A25C26" w:rsidRDefault="00D20D68" w:rsidP="00A25C26">
            <w:pPr>
              <w:spacing w:after="240" w:line="276" w:lineRule="auto"/>
              <w:contextualSpacing/>
              <w:jc w:val="center"/>
              <w:rPr>
                <w:rFonts w:ascii="Book Antiqua" w:hAnsi="Book Antiqua"/>
                <w:b/>
                <w:bCs/>
              </w:rPr>
            </w:pPr>
            <w:r w:rsidRPr="00A25C26">
              <w:rPr>
                <w:rFonts w:ascii="Book Antiqua" w:hAnsi="Book Antiqua"/>
                <w:b/>
                <w:bCs/>
              </w:rPr>
              <w:t>(</w:t>
            </w:r>
            <w:r w:rsidR="0047700B" w:rsidRPr="00A25C26">
              <w:rPr>
                <w:rFonts w:ascii="Book Antiqua" w:hAnsi="Book Antiqua"/>
                <w:b/>
                <w:bCs/>
              </w:rPr>
              <w:t>Sep 19</w:t>
            </w:r>
            <w:r w:rsidRPr="00A25C26">
              <w:rPr>
                <w:rFonts w:ascii="Book Antiqua" w:hAnsi="Book Antiqua"/>
                <w:b/>
                <w:bCs/>
              </w:rPr>
              <w:t>)</w:t>
            </w:r>
          </w:p>
        </w:tc>
      </w:tr>
      <w:tr w:rsidR="0047700B" w:rsidRPr="00A25C26" w:rsidTr="00D20D68">
        <w:tc>
          <w:tcPr>
            <w:tcW w:w="4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00B" w:rsidRPr="00A25C26" w:rsidRDefault="0047700B" w:rsidP="005C597E">
            <w:pPr>
              <w:spacing w:after="240" w:line="276" w:lineRule="auto"/>
              <w:contextualSpacing/>
              <w:jc w:val="both"/>
              <w:rPr>
                <w:rFonts w:ascii="Book Antiqua" w:hAnsi="Book Antiqua"/>
              </w:rPr>
            </w:pPr>
            <w:r w:rsidRPr="00A25C26">
              <w:rPr>
                <w:rFonts w:ascii="Book Antiqua" w:hAnsi="Book Antiqua"/>
              </w:rPr>
              <w:t>1</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47700B" w:rsidRPr="00A25C26" w:rsidRDefault="0047700B" w:rsidP="005C597E">
            <w:pPr>
              <w:spacing w:after="240" w:line="276" w:lineRule="auto"/>
              <w:contextualSpacing/>
              <w:jc w:val="both"/>
              <w:rPr>
                <w:rFonts w:ascii="Book Antiqua" w:hAnsi="Book Antiqua"/>
              </w:rPr>
            </w:pPr>
            <w:r w:rsidRPr="00A25C26">
              <w:rPr>
                <w:rFonts w:ascii="Book Antiqua" w:hAnsi="Book Antiqua"/>
              </w:rPr>
              <w:t>Opening number of Defective meters</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rsidR="0047700B" w:rsidRPr="00A25C26" w:rsidRDefault="0047700B" w:rsidP="005A07FE">
            <w:pPr>
              <w:spacing w:after="240" w:line="276" w:lineRule="auto"/>
              <w:contextualSpacing/>
              <w:jc w:val="right"/>
              <w:rPr>
                <w:rFonts w:ascii="Book Antiqua" w:hAnsi="Book Antiqua"/>
              </w:rPr>
            </w:pPr>
            <w:r w:rsidRPr="00A25C26">
              <w:rPr>
                <w:rFonts w:ascii="Book Antiqua" w:hAnsi="Book Antiqua"/>
              </w:rPr>
              <w:t>3729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7700B" w:rsidRPr="00A25C26" w:rsidRDefault="0047700B" w:rsidP="005A07FE">
            <w:pPr>
              <w:spacing w:after="240" w:line="276" w:lineRule="auto"/>
              <w:contextualSpacing/>
              <w:jc w:val="right"/>
              <w:rPr>
                <w:rFonts w:ascii="Book Antiqua" w:hAnsi="Book Antiqua"/>
              </w:rPr>
            </w:pPr>
            <w:r w:rsidRPr="00A25C26">
              <w:rPr>
                <w:rFonts w:ascii="Book Antiqua" w:hAnsi="Book Antiqua"/>
              </w:rPr>
              <w:t>7101</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7700B" w:rsidRPr="00A25C26" w:rsidRDefault="0047700B" w:rsidP="005A07FE">
            <w:pPr>
              <w:spacing w:after="240" w:line="276" w:lineRule="auto"/>
              <w:contextualSpacing/>
              <w:jc w:val="right"/>
              <w:rPr>
                <w:rFonts w:ascii="Book Antiqua" w:hAnsi="Book Antiqua"/>
              </w:rPr>
            </w:pPr>
            <w:r w:rsidRPr="00A25C26">
              <w:rPr>
                <w:rFonts w:ascii="Book Antiqua" w:hAnsi="Book Antiqua"/>
              </w:rPr>
              <w:t>5609</w:t>
            </w:r>
          </w:p>
        </w:tc>
      </w:tr>
      <w:tr w:rsidR="0047700B" w:rsidRPr="00A25C26" w:rsidTr="00D20D68">
        <w:tc>
          <w:tcPr>
            <w:tcW w:w="4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00B" w:rsidRPr="00A25C26" w:rsidRDefault="0047700B" w:rsidP="005C597E">
            <w:pPr>
              <w:spacing w:after="240" w:line="276" w:lineRule="auto"/>
              <w:contextualSpacing/>
              <w:jc w:val="both"/>
              <w:rPr>
                <w:rFonts w:ascii="Book Antiqua" w:hAnsi="Book Antiqua"/>
              </w:rPr>
            </w:pPr>
            <w:r w:rsidRPr="00A25C26">
              <w:rPr>
                <w:rFonts w:ascii="Book Antiqua" w:hAnsi="Book Antiqua"/>
              </w:rPr>
              <w:t>2</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47700B" w:rsidRPr="00A25C26" w:rsidRDefault="0047700B" w:rsidP="005C597E">
            <w:pPr>
              <w:spacing w:after="240" w:line="276" w:lineRule="auto"/>
              <w:contextualSpacing/>
              <w:jc w:val="both"/>
              <w:rPr>
                <w:rFonts w:ascii="Book Antiqua" w:hAnsi="Book Antiqua"/>
              </w:rPr>
            </w:pPr>
            <w:r w:rsidRPr="00A25C26">
              <w:rPr>
                <w:rFonts w:ascii="Book Antiqua" w:hAnsi="Book Antiqua"/>
              </w:rPr>
              <w:t>Additional defective meters during the year</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rsidR="0047700B" w:rsidRPr="00A25C26" w:rsidRDefault="0047700B" w:rsidP="005A07FE">
            <w:pPr>
              <w:spacing w:after="240" w:line="276" w:lineRule="auto"/>
              <w:contextualSpacing/>
              <w:jc w:val="right"/>
              <w:rPr>
                <w:rFonts w:ascii="Book Antiqua" w:hAnsi="Book Antiqua"/>
              </w:rPr>
            </w:pPr>
            <w:r w:rsidRPr="00A25C26">
              <w:rPr>
                <w:rFonts w:ascii="Book Antiqua" w:hAnsi="Book Antiqua"/>
              </w:rPr>
              <w:t>99927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7700B" w:rsidRPr="00A25C26" w:rsidRDefault="0047700B" w:rsidP="005A07FE">
            <w:pPr>
              <w:spacing w:after="240" w:line="276" w:lineRule="auto"/>
              <w:contextualSpacing/>
              <w:jc w:val="right"/>
              <w:rPr>
                <w:rFonts w:ascii="Book Antiqua" w:hAnsi="Book Antiqua"/>
              </w:rPr>
            </w:pPr>
            <w:r w:rsidRPr="00A25C26">
              <w:rPr>
                <w:rFonts w:ascii="Book Antiqua" w:hAnsi="Book Antiqua"/>
              </w:rPr>
              <w:t>97408</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7700B" w:rsidRPr="00A25C26" w:rsidRDefault="0047700B" w:rsidP="005A07FE">
            <w:pPr>
              <w:spacing w:after="240" w:line="276" w:lineRule="auto"/>
              <w:contextualSpacing/>
              <w:jc w:val="right"/>
              <w:rPr>
                <w:rFonts w:ascii="Book Antiqua" w:hAnsi="Book Antiqua"/>
              </w:rPr>
            </w:pPr>
            <w:r w:rsidRPr="00A25C26">
              <w:rPr>
                <w:rFonts w:ascii="Book Antiqua" w:hAnsi="Book Antiqua"/>
              </w:rPr>
              <w:t>52177</w:t>
            </w:r>
          </w:p>
        </w:tc>
      </w:tr>
      <w:tr w:rsidR="0047700B" w:rsidRPr="00A25C26" w:rsidTr="00D20D68">
        <w:tc>
          <w:tcPr>
            <w:tcW w:w="4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00B" w:rsidRPr="00A25C26" w:rsidRDefault="0047700B" w:rsidP="005C597E">
            <w:pPr>
              <w:spacing w:after="240" w:line="276" w:lineRule="auto"/>
              <w:contextualSpacing/>
              <w:jc w:val="both"/>
              <w:rPr>
                <w:rFonts w:ascii="Book Antiqua" w:hAnsi="Book Antiqua"/>
              </w:rPr>
            </w:pPr>
            <w:r w:rsidRPr="00A25C26">
              <w:rPr>
                <w:rFonts w:ascii="Book Antiqua" w:hAnsi="Book Antiqua"/>
              </w:rPr>
              <w:t>3</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47700B" w:rsidRPr="00A25C26" w:rsidRDefault="0047700B" w:rsidP="005C597E">
            <w:pPr>
              <w:spacing w:after="240" w:line="276" w:lineRule="auto"/>
              <w:contextualSpacing/>
              <w:jc w:val="both"/>
              <w:rPr>
                <w:rFonts w:ascii="Book Antiqua" w:hAnsi="Book Antiqua"/>
              </w:rPr>
            </w:pPr>
            <w:r w:rsidRPr="00A25C26">
              <w:rPr>
                <w:rFonts w:ascii="Book Antiqua" w:hAnsi="Book Antiqua"/>
              </w:rPr>
              <w:t>Defective meters replaced during the year</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rsidR="0047700B" w:rsidRPr="00A25C26" w:rsidRDefault="0047700B" w:rsidP="005A07FE">
            <w:pPr>
              <w:spacing w:after="240" w:line="276" w:lineRule="auto"/>
              <w:contextualSpacing/>
              <w:jc w:val="right"/>
              <w:rPr>
                <w:rFonts w:ascii="Book Antiqua" w:hAnsi="Book Antiqua"/>
              </w:rPr>
            </w:pPr>
            <w:r w:rsidRPr="00A25C26">
              <w:rPr>
                <w:rFonts w:ascii="Book Antiqua" w:hAnsi="Book Antiqua"/>
              </w:rPr>
              <w:t>96555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7700B" w:rsidRPr="00A25C26" w:rsidRDefault="0047700B" w:rsidP="005A07FE">
            <w:pPr>
              <w:spacing w:after="240" w:line="276" w:lineRule="auto"/>
              <w:contextualSpacing/>
              <w:jc w:val="right"/>
              <w:rPr>
                <w:rFonts w:ascii="Book Antiqua" w:hAnsi="Book Antiqua"/>
              </w:rPr>
            </w:pPr>
            <w:r w:rsidRPr="00A25C26">
              <w:rPr>
                <w:rFonts w:ascii="Book Antiqua" w:hAnsi="Book Antiqua"/>
              </w:rPr>
              <w:t>98900</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7700B" w:rsidRPr="00A25C26" w:rsidRDefault="0047700B" w:rsidP="005A07FE">
            <w:pPr>
              <w:spacing w:after="240" w:line="276" w:lineRule="auto"/>
              <w:contextualSpacing/>
              <w:jc w:val="right"/>
              <w:rPr>
                <w:rFonts w:ascii="Book Antiqua" w:hAnsi="Book Antiqua"/>
              </w:rPr>
            </w:pPr>
            <w:r w:rsidRPr="00A25C26">
              <w:rPr>
                <w:rFonts w:ascii="Book Antiqua" w:hAnsi="Book Antiqua"/>
              </w:rPr>
              <w:t>51193</w:t>
            </w:r>
          </w:p>
        </w:tc>
      </w:tr>
      <w:tr w:rsidR="0047700B" w:rsidRPr="00A25C26" w:rsidTr="00D20D68">
        <w:tc>
          <w:tcPr>
            <w:tcW w:w="4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700B" w:rsidRPr="00A25C26" w:rsidRDefault="0047700B" w:rsidP="005C597E">
            <w:pPr>
              <w:spacing w:after="240" w:line="276" w:lineRule="auto"/>
              <w:contextualSpacing/>
              <w:jc w:val="both"/>
              <w:rPr>
                <w:rFonts w:ascii="Book Antiqua" w:hAnsi="Book Antiqua"/>
              </w:rPr>
            </w:pPr>
            <w:r w:rsidRPr="00A25C26">
              <w:rPr>
                <w:rFonts w:ascii="Book Antiqua" w:hAnsi="Book Antiqua"/>
              </w:rPr>
              <w:t>4</w:t>
            </w:r>
          </w:p>
        </w:tc>
        <w:tc>
          <w:tcPr>
            <w:tcW w:w="2531" w:type="dxa"/>
            <w:tcBorders>
              <w:top w:val="nil"/>
              <w:left w:val="nil"/>
              <w:bottom w:val="single" w:sz="8" w:space="0" w:color="auto"/>
              <w:right w:val="single" w:sz="8" w:space="0" w:color="auto"/>
            </w:tcBorders>
            <w:tcMar>
              <w:top w:w="0" w:type="dxa"/>
              <w:left w:w="108" w:type="dxa"/>
              <w:bottom w:w="0" w:type="dxa"/>
              <w:right w:w="108" w:type="dxa"/>
            </w:tcMar>
            <w:hideMark/>
          </w:tcPr>
          <w:p w:rsidR="0047700B" w:rsidRPr="00A25C26" w:rsidRDefault="0047700B" w:rsidP="005C597E">
            <w:pPr>
              <w:spacing w:after="240" w:line="276" w:lineRule="auto"/>
              <w:contextualSpacing/>
              <w:jc w:val="both"/>
              <w:rPr>
                <w:rFonts w:ascii="Book Antiqua" w:hAnsi="Book Antiqua"/>
              </w:rPr>
            </w:pPr>
            <w:r w:rsidRPr="00A25C26">
              <w:rPr>
                <w:rFonts w:ascii="Book Antiqua" w:hAnsi="Book Antiqua"/>
              </w:rPr>
              <w:t>Closing number of Defective meters</w:t>
            </w:r>
          </w:p>
        </w:tc>
        <w:tc>
          <w:tcPr>
            <w:tcW w:w="1677" w:type="dxa"/>
            <w:tcBorders>
              <w:top w:val="nil"/>
              <w:left w:val="nil"/>
              <w:bottom w:val="single" w:sz="8" w:space="0" w:color="auto"/>
              <w:right w:val="single" w:sz="8" w:space="0" w:color="auto"/>
            </w:tcBorders>
            <w:tcMar>
              <w:top w:w="0" w:type="dxa"/>
              <w:left w:w="108" w:type="dxa"/>
              <w:bottom w:w="0" w:type="dxa"/>
              <w:right w:w="108" w:type="dxa"/>
            </w:tcMar>
            <w:hideMark/>
          </w:tcPr>
          <w:p w:rsidR="0047700B" w:rsidRPr="00A25C26" w:rsidRDefault="0047700B" w:rsidP="005A07FE">
            <w:pPr>
              <w:spacing w:after="240" w:line="276" w:lineRule="auto"/>
              <w:contextualSpacing/>
              <w:jc w:val="right"/>
              <w:rPr>
                <w:rFonts w:ascii="Book Antiqua" w:hAnsi="Book Antiqua"/>
              </w:rPr>
            </w:pPr>
            <w:r w:rsidRPr="00A25C26">
              <w:rPr>
                <w:rFonts w:ascii="Book Antiqua" w:hAnsi="Book Antiqua"/>
              </w:rPr>
              <w:t>7101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47700B" w:rsidRPr="00A25C26" w:rsidRDefault="0047700B" w:rsidP="005A07FE">
            <w:pPr>
              <w:spacing w:after="240" w:line="276" w:lineRule="auto"/>
              <w:contextualSpacing/>
              <w:jc w:val="right"/>
              <w:rPr>
                <w:rFonts w:ascii="Book Antiqua" w:hAnsi="Book Antiqua"/>
              </w:rPr>
            </w:pPr>
            <w:r w:rsidRPr="00A25C26">
              <w:rPr>
                <w:rFonts w:ascii="Book Antiqua" w:hAnsi="Book Antiqua"/>
              </w:rPr>
              <w:t>5609</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47700B" w:rsidRPr="00A25C26" w:rsidRDefault="0047700B" w:rsidP="005A07FE">
            <w:pPr>
              <w:spacing w:after="240" w:line="276" w:lineRule="auto"/>
              <w:contextualSpacing/>
              <w:jc w:val="right"/>
              <w:rPr>
                <w:rFonts w:ascii="Book Antiqua" w:hAnsi="Book Antiqua"/>
              </w:rPr>
            </w:pPr>
            <w:r w:rsidRPr="00A25C26">
              <w:rPr>
                <w:rFonts w:ascii="Book Antiqua" w:hAnsi="Book Antiqua"/>
              </w:rPr>
              <w:t>6593</w:t>
            </w:r>
          </w:p>
        </w:tc>
      </w:tr>
    </w:tbl>
    <w:p w:rsidR="00D20D68" w:rsidRDefault="00D20D68" w:rsidP="005C597E">
      <w:pPr>
        <w:tabs>
          <w:tab w:val="left" w:pos="1695"/>
        </w:tabs>
        <w:spacing w:after="240" w:line="276" w:lineRule="auto"/>
        <w:ind w:left="270"/>
        <w:contextualSpacing/>
        <w:jc w:val="both"/>
        <w:rPr>
          <w:color w:val="000000"/>
        </w:rPr>
      </w:pPr>
      <w:r>
        <w:rPr>
          <w:rFonts w:ascii="Book Antiqua" w:hAnsi="Book Antiqua"/>
          <w:color w:val="000000"/>
        </w:rPr>
        <w:t> </w:t>
      </w:r>
      <w:r w:rsidR="006E258D">
        <w:rPr>
          <w:rFonts w:ascii="Book Antiqua" w:hAnsi="Book Antiqua"/>
          <w:color w:val="000000"/>
        </w:rPr>
        <w:tab/>
      </w:r>
    </w:p>
    <w:p w:rsidR="00D20D68" w:rsidRPr="00A25C26" w:rsidRDefault="00D20D68" w:rsidP="00211D4D">
      <w:pPr>
        <w:numPr>
          <w:ilvl w:val="0"/>
          <w:numId w:val="14"/>
        </w:numPr>
        <w:spacing w:after="240" w:line="276" w:lineRule="auto"/>
        <w:ind w:left="629"/>
        <w:jc w:val="both"/>
        <w:rPr>
          <w:b/>
          <w:bCs/>
          <w:color w:val="000000"/>
        </w:rPr>
      </w:pPr>
      <w:r w:rsidRPr="00A25C26">
        <w:rPr>
          <w:rFonts w:ascii="Book Antiqua" w:hAnsi="Book Antiqua"/>
          <w:b/>
          <w:bCs/>
          <w:color w:val="000000"/>
        </w:rPr>
        <w:lastRenderedPageBreak/>
        <w:t xml:space="preserve">UGVCL to give timeline for </w:t>
      </w:r>
      <w:bookmarkStart w:id="11" w:name="_Hlk30580722"/>
      <w:r w:rsidRPr="00A25C26">
        <w:rPr>
          <w:rFonts w:ascii="Book Antiqua" w:hAnsi="Book Antiqua"/>
          <w:b/>
          <w:bCs/>
          <w:color w:val="000000"/>
        </w:rPr>
        <w:t>submission of report on Pilot Project on Scheme for Installation of solar pump for agriculture consumers</w:t>
      </w:r>
      <w:bookmarkEnd w:id="11"/>
      <w:r w:rsidRPr="00A25C26">
        <w:rPr>
          <w:rFonts w:ascii="Book Antiqua" w:hAnsi="Book Antiqua"/>
          <w:b/>
          <w:bCs/>
          <w:color w:val="000000"/>
        </w:rPr>
        <w:t>.</w:t>
      </w:r>
    </w:p>
    <w:p w:rsidR="00967B41" w:rsidRPr="00476E6F" w:rsidRDefault="00211D4D" w:rsidP="00211D4D">
      <w:pPr>
        <w:spacing w:after="240" w:line="276" w:lineRule="auto"/>
        <w:ind w:left="629"/>
        <w:jc w:val="both"/>
        <w:rPr>
          <w:rFonts w:ascii="Book Antiqua" w:hAnsi="Book Antiqua"/>
          <w:color w:val="000000"/>
        </w:rPr>
      </w:pPr>
      <w:r w:rsidRPr="00476E6F">
        <w:rPr>
          <w:rFonts w:ascii="Book Antiqua" w:hAnsi="Book Antiqua"/>
          <w:b/>
          <w:bCs/>
          <w:color w:val="000000"/>
        </w:rPr>
        <w:t>Compliance: -</w:t>
      </w:r>
    </w:p>
    <w:p w:rsidR="00967B41" w:rsidRPr="0002365C" w:rsidRDefault="00967B41" w:rsidP="00967B41">
      <w:pPr>
        <w:spacing w:after="240"/>
        <w:ind w:left="629"/>
        <w:jc w:val="both"/>
        <w:rPr>
          <w:rFonts w:ascii="Book Antiqua" w:eastAsia="Times New Roman" w:hAnsi="Book Antiqua"/>
          <w:color w:val="000000"/>
        </w:rPr>
      </w:pPr>
      <w:r>
        <w:rPr>
          <w:rFonts w:ascii="Book Antiqua" w:eastAsia="Times New Roman" w:hAnsi="Book Antiqua"/>
          <w:color w:val="000000"/>
        </w:rPr>
        <w:t>T</w:t>
      </w:r>
      <w:r w:rsidRPr="0002365C">
        <w:rPr>
          <w:rFonts w:ascii="Book Antiqua" w:eastAsia="Times New Roman" w:hAnsi="Book Antiqua"/>
          <w:color w:val="000000"/>
        </w:rPr>
        <w:t xml:space="preserve">he agriculture consumption varies with the season. </w:t>
      </w:r>
      <w:r>
        <w:rPr>
          <w:rFonts w:ascii="Book Antiqua" w:eastAsia="Times New Roman" w:hAnsi="Book Antiqua"/>
          <w:color w:val="000000"/>
        </w:rPr>
        <w:t>Further</w:t>
      </w:r>
      <w:r w:rsidRPr="0002365C">
        <w:rPr>
          <w:rFonts w:ascii="Book Antiqua" w:eastAsia="Times New Roman" w:hAnsi="Book Antiqua"/>
          <w:color w:val="000000"/>
        </w:rPr>
        <w:t>, in case of solar generation, there is substantial seasonal impact. T</w:t>
      </w:r>
      <w:r>
        <w:rPr>
          <w:rFonts w:ascii="Book Antiqua" w:eastAsia="Times New Roman" w:hAnsi="Book Antiqua"/>
          <w:color w:val="000000"/>
        </w:rPr>
        <w:t>herefore,</w:t>
      </w:r>
      <w:r w:rsidRPr="0002365C">
        <w:rPr>
          <w:rFonts w:ascii="Book Antiqua" w:eastAsia="Times New Roman" w:hAnsi="Book Antiqua"/>
          <w:color w:val="000000"/>
        </w:rPr>
        <w:t xml:space="preserve"> one cycle covering all seasons is essential for proper study of the scheme outcome. </w:t>
      </w:r>
    </w:p>
    <w:p w:rsidR="00211D4D" w:rsidRPr="00211D4D" w:rsidRDefault="00476E6F" w:rsidP="00476E6F">
      <w:pPr>
        <w:spacing w:after="240"/>
        <w:ind w:left="629"/>
        <w:jc w:val="both"/>
        <w:rPr>
          <w:rFonts w:ascii="Book Antiqua" w:hAnsi="Book Antiqua"/>
          <w:color w:val="000000"/>
        </w:rPr>
      </w:pPr>
      <w:r>
        <w:rPr>
          <w:rFonts w:ascii="Book Antiqua" w:eastAsia="Times New Roman" w:hAnsi="Book Antiqua"/>
          <w:color w:val="000000"/>
        </w:rPr>
        <w:t>U</w:t>
      </w:r>
      <w:r w:rsidR="00967B41" w:rsidRPr="0002365C">
        <w:rPr>
          <w:rFonts w:ascii="Book Antiqua" w:eastAsia="Times New Roman" w:hAnsi="Book Antiqua"/>
          <w:color w:val="000000"/>
        </w:rPr>
        <w:t xml:space="preserve">GVCL has requested to the </w:t>
      </w:r>
      <w:r w:rsidR="00967B41">
        <w:rPr>
          <w:rFonts w:ascii="Book Antiqua" w:eastAsia="Times New Roman" w:hAnsi="Book Antiqua"/>
          <w:color w:val="000000"/>
        </w:rPr>
        <w:t>Hon’ble Commissionv</w:t>
      </w:r>
      <w:r w:rsidR="00967B41" w:rsidRPr="0002365C">
        <w:rPr>
          <w:rFonts w:ascii="Book Antiqua" w:eastAsia="Times New Roman" w:hAnsi="Book Antiqua"/>
          <w:color w:val="000000"/>
        </w:rPr>
        <w:t xml:space="preserve">ide letter </w:t>
      </w:r>
      <w:r w:rsidR="00967B41">
        <w:rPr>
          <w:rFonts w:ascii="Book Antiqua" w:eastAsia="Times New Roman" w:hAnsi="Book Antiqua"/>
          <w:color w:val="000000"/>
        </w:rPr>
        <w:t xml:space="preserve">no. </w:t>
      </w:r>
      <w:r>
        <w:rPr>
          <w:rFonts w:ascii="Book Antiqua" w:eastAsia="Times New Roman" w:hAnsi="Book Antiqua"/>
          <w:color w:val="000000"/>
        </w:rPr>
        <w:t>U</w:t>
      </w:r>
      <w:r w:rsidR="00967B41">
        <w:rPr>
          <w:rFonts w:ascii="Book Antiqua" w:eastAsia="Times New Roman" w:hAnsi="Book Antiqua"/>
          <w:color w:val="000000"/>
        </w:rPr>
        <w:t>GVCL/</w:t>
      </w:r>
      <w:r w:rsidR="00E34960">
        <w:rPr>
          <w:rFonts w:ascii="Book Antiqua" w:eastAsia="Times New Roman" w:hAnsi="Book Antiqua"/>
          <w:color w:val="000000"/>
        </w:rPr>
        <w:t>COM/GC/SKY/371</w:t>
      </w:r>
      <w:r w:rsidR="00967B41">
        <w:rPr>
          <w:rFonts w:ascii="Book Antiqua" w:eastAsia="Times New Roman" w:hAnsi="Book Antiqua"/>
          <w:color w:val="000000"/>
        </w:rPr>
        <w:t xml:space="preserve"> dated</w:t>
      </w:r>
      <w:r w:rsidR="00E34960">
        <w:rPr>
          <w:rFonts w:ascii="Book Antiqua" w:eastAsia="Times New Roman" w:hAnsi="Book Antiqua"/>
          <w:color w:val="000000"/>
        </w:rPr>
        <w:t xml:space="preserve"> 04/06/</w:t>
      </w:r>
      <w:r w:rsidR="00967B41" w:rsidRPr="0002365C">
        <w:rPr>
          <w:rFonts w:ascii="Book Antiqua" w:eastAsia="Times New Roman" w:hAnsi="Book Antiqua"/>
          <w:color w:val="000000"/>
        </w:rPr>
        <w:t xml:space="preserve">2019 to approve the time limit up to </w:t>
      </w:r>
      <w:r w:rsidR="00E34960">
        <w:rPr>
          <w:rFonts w:ascii="Book Antiqua" w:eastAsia="Times New Roman" w:hAnsi="Book Antiqua"/>
          <w:color w:val="000000"/>
        </w:rPr>
        <w:t>September 2019</w:t>
      </w:r>
      <w:r w:rsidR="00967B41">
        <w:rPr>
          <w:rFonts w:ascii="Book Antiqua" w:eastAsia="Times New Roman" w:hAnsi="Book Antiqua"/>
          <w:color w:val="000000"/>
        </w:rPr>
        <w:t>.However,</w:t>
      </w:r>
      <w:r w:rsidR="00967B41" w:rsidRPr="0002365C">
        <w:rPr>
          <w:rFonts w:ascii="Book Antiqua" w:eastAsia="Times New Roman" w:hAnsi="Book Antiqua"/>
          <w:color w:val="000000"/>
        </w:rPr>
        <w:t xml:space="preserve"> due </w:t>
      </w:r>
      <w:bookmarkStart w:id="12" w:name="_GoBack"/>
      <w:bookmarkEnd w:id="12"/>
      <w:r w:rsidR="00967B41" w:rsidRPr="0002365C">
        <w:rPr>
          <w:rFonts w:ascii="Book Antiqua" w:eastAsia="Times New Roman" w:hAnsi="Book Antiqua"/>
          <w:color w:val="000000"/>
        </w:rPr>
        <w:t>to prolonged monsoon period during this year</w:t>
      </w:r>
      <w:r w:rsidR="00967B41">
        <w:rPr>
          <w:rFonts w:ascii="Book Antiqua" w:eastAsia="Times New Roman" w:hAnsi="Book Antiqua"/>
          <w:color w:val="000000"/>
        </w:rPr>
        <w:t>,</w:t>
      </w:r>
      <w:r w:rsidR="00967B41" w:rsidRPr="0002365C">
        <w:rPr>
          <w:rFonts w:ascii="Book Antiqua" w:eastAsia="Times New Roman" w:hAnsi="Book Antiqua"/>
          <w:color w:val="000000"/>
        </w:rPr>
        <w:t xml:space="preserve"> it is requested to exten</w:t>
      </w:r>
      <w:r w:rsidR="00967B41">
        <w:rPr>
          <w:rFonts w:ascii="Book Antiqua" w:eastAsia="Times New Roman" w:hAnsi="Book Antiqua"/>
          <w:color w:val="000000"/>
        </w:rPr>
        <w:t>d</w:t>
      </w:r>
      <w:r w:rsidR="00967B41" w:rsidRPr="0002365C">
        <w:rPr>
          <w:rFonts w:ascii="Book Antiqua" w:eastAsia="Times New Roman" w:hAnsi="Book Antiqua"/>
          <w:color w:val="000000"/>
        </w:rPr>
        <w:t xml:space="preserve"> the time limit</w:t>
      </w:r>
      <w:r w:rsidR="000B4E4F">
        <w:rPr>
          <w:rFonts w:ascii="Book Antiqua" w:eastAsia="Times New Roman" w:hAnsi="Book Antiqua"/>
          <w:color w:val="000000"/>
        </w:rPr>
        <w:t xml:space="preserve"> further</w:t>
      </w:r>
      <w:r w:rsidR="00967B41" w:rsidRPr="0002365C">
        <w:rPr>
          <w:rFonts w:ascii="Book Antiqua" w:eastAsia="Times New Roman" w:hAnsi="Book Antiqua"/>
          <w:color w:val="000000"/>
        </w:rPr>
        <w:t>, so that the calculation covering all seasons can be submitted.</w:t>
      </w:r>
      <w:r>
        <w:rPr>
          <w:rFonts w:ascii="Book Antiqua" w:eastAsia="Times New Roman" w:hAnsi="Book Antiqua"/>
          <w:color w:val="000000"/>
        </w:rPr>
        <w:t xml:space="preserve"> Accordingly, a</w:t>
      </w:r>
      <w:r w:rsidR="00211D4D" w:rsidRPr="00476E6F">
        <w:rPr>
          <w:rFonts w:ascii="Book Antiqua" w:hAnsi="Book Antiqua"/>
          <w:color w:val="000000"/>
        </w:rPr>
        <w:t xml:space="preserve"> report will be submit</w:t>
      </w:r>
      <w:r w:rsidR="00001312" w:rsidRPr="00476E6F">
        <w:rPr>
          <w:rFonts w:ascii="Book Antiqua" w:hAnsi="Book Antiqua"/>
          <w:color w:val="000000"/>
        </w:rPr>
        <w:t>ted</w:t>
      </w:r>
      <w:r w:rsidRPr="00476E6F">
        <w:rPr>
          <w:rFonts w:ascii="Book Antiqua" w:hAnsi="Book Antiqua"/>
          <w:color w:val="000000"/>
        </w:rPr>
        <w:t>on completion of financial year 2019-20</w:t>
      </w:r>
      <w:r w:rsidR="00211D4D" w:rsidRPr="00476E6F">
        <w:rPr>
          <w:rFonts w:ascii="Book Antiqua" w:hAnsi="Book Antiqua"/>
          <w:color w:val="000000"/>
        </w:rPr>
        <w:t>.</w:t>
      </w:r>
    </w:p>
    <w:p w:rsidR="0086724B" w:rsidRDefault="0086724B" w:rsidP="005C597E">
      <w:pPr>
        <w:spacing w:after="240" w:line="276" w:lineRule="auto"/>
        <w:contextualSpacing/>
      </w:pPr>
    </w:p>
    <w:sectPr w:rsidR="0086724B" w:rsidSect="004C5E50">
      <w:pgSz w:w="11906" w:h="16838"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F39" w:rsidRDefault="00C70F39" w:rsidP="00D41DC2">
      <w:r>
        <w:separator/>
      </w:r>
    </w:p>
  </w:endnote>
  <w:endnote w:type="continuationSeparator" w:id="1">
    <w:p w:rsidR="00C70F39" w:rsidRDefault="00C70F39" w:rsidP="00D41D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hruti">
    <w:panose1 w:val="020B0802040204020203"/>
    <w:charset w:val="01"/>
    <w:family w:val="auto"/>
    <w:pitch w:val="variable"/>
    <w:sig w:usb0="0004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F39" w:rsidRDefault="00C70F39" w:rsidP="00D41DC2">
      <w:r>
        <w:separator/>
      </w:r>
    </w:p>
  </w:footnote>
  <w:footnote w:type="continuationSeparator" w:id="1">
    <w:p w:rsidR="00C70F39" w:rsidRDefault="00C70F39" w:rsidP="00D41D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4454F"/>
    <w:multiLevelType w:val="hybridMultilevel"/>
    <w:tmpl w:val="3EEAF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164941"/>
    <w:multiLevelType w:val="multilevel"/>
    <w:tmpl w:val="2990F31A"/>
    <w:lvl w:ilvl="0">
      <w:start w:val="3"/>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nsid w:val="104A2851"/>
    <w:multiLevelType w:val="multilevel"/>
    <w:tmpl w:val="04DAA286"/>
    <w:lvl w:ilvl="0">
      <w:start w:val="3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75371BB"/>
    <w:multiLevelType w:val="multilevel"/>
    <w:tmpl w:val="B712A8C6"/>
    <w:lvl w:ilvl="0">
      <w:start w:val="2"/>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
    <w:nsid w:val="1F2C115B"/>
    <w:multiLevelType w:val="hybridMultilevel"/>
    <w:tmpl w:val="3B909448"/>
    <w:lvl w:ilvl="0" w:tplc="8F7A9E2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6F24C64"/>
    <w:multiLevelType w:val="hybridMultilevel"/>
    <w:tmpl w:val="77324754"/>
    <w:lvl w:ilvl="0" w:tplc="AD08A3C0">
      <w:numFmt w:val="bullet"/>
      <w:lvlText w:val=""/>
      <w:lvlJc w:val="left"/>
      <w:pPr>
        <w:ind w:left="1429" w:hanging="360"/>
      </w:pPr>
      <w:rPr>
        <w:rFonts w:ascii="Symbol" w:eastAsiaTheme="minorHAnsi" w:hAnsi="Symbol" w:cstheme="minorBidi"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6">
    <w:nsid w:val="2AC57698"/>
    <w:multiLevelType w:val="hybridMultilevel"/>
    <w:tmpl w:val="AB823876"/>
    <w:lvl w:ilvl="0" w:tplc="57E2D2EE">
      <w:start w:val="1"/>
      <w:numFmt w:val="decimal"/>
      <w:lvlText w:val="%1."/>
      <w:lvlJc w:val="left"/>
      <w:pPr>
        <w:ind w:left="1620" w:hanging="360"/>
      </w:pPr>
      <w:rPr>
        <w:rFonts w:eastAsia="Calibri"/>
        <w:b w:val="0"/>
        <w:color w:val="000000"/>
      </w:rPr>
    </w:lvl>
    <w:lvl w:ilvl="1" w:tplc="40090019">
      <w:start w:val="1"/>
      <w:numFmt w:val="lowerLetter"/>
      <w:lvlText w:val="%2."/>
      <w:lvlJc w:val="left"/>
      <w:pPr>
        <w:ind w:left="2340" w:hanging="360"/>
      </w:pPr>
    </w:lvl>
    <w:lvl w:ilvl="2" w:tplc="4009001B">
      <w:start w:val="1"/>
      <w:numFmt w:val="lowerRoman"/>
      <w:lvlText w:val="%3."/>
      <w:lvlJc w:val="right"/>
      <w:pPr>
        <w:ind w:left="3060" w:hanging="180"/>
      </w:pPr>
    </w:lvl>
    <w:lvl w:ilvl="3" w:tplc="4009000F">
      <w:start w:val="1"/>
      <w:numFmt w:val="decimal"/>
      <w:lvlText w:val="%4."/>
      <w:lvlJc w:val="left"/>
      <w:pPr>
        <w:ind w:left="3780" w:hanging="360"/>
      </w:pPr>
    </w:lvl>
    <w:lvl w:ilvl="4" w:tplc="40090019">
      <w:start w:val="1"/>
      <w:numFmt w:val="lowerLetter"/>
      <w:lvlText w:val="%5."/>
      <w:lvlJc w:val="left"/>
      <w:pPr>
        <w:ind w:left="4500" w:hanging="360"/>
      </w:pPr>
    </w:lvl>
    <w:lvl w:ilvl="5" w:tplc="4009001B">
      <w:start w:val="1"/>
      <w:numFmt w:val="lowerRoman"/>
      <w:lvlText w:val="%6."/>
      <w:lvlJc w:val="right"/>
      <w:pPr>
        <w:ind w:left="5220" w:hanging="180"/>
      </w:pPr>
    </w:lvl>
    <w:lvl w:ilvl="6" w:tplc="4009000F">
      <w:start w:val="1"/>
      <w:numFmt w:val="decimal"/>
      <w:lvlText w:val="%7."/>
      <w:lvlJc w:val="left"/>
      <w:pPr>
        <w:ind w:left="5940" w:hanging="360"/>
      </w:pPr>
    </w:lvl>
    <w:lvl w:ilvl="7" w:tplc="40090019">
      <w:start w:val="1"/>
      <w:numFmt w:val="lowerLetter"/>
      <w:lvlText w:val="%8."/>
      <w:lvlJc w:val="left"/>
      <w:pPr>
        <w:ind w:left="6660" w:hanging="360"/>
      </w:pPr>
    </w:lvl>
    <w:lvl w:ilvl="8" w:tplc="4009001B">
      <w:start w:val="1"/>
      <w:numFmt w:val="lowerRoman"/>
      <w:lvlText w:val="%9."/>
      <w:lvlJc w:val="right"/>
      <w:pPr>
        <w:ind w:left="7380" w:hanging="180"/>
      </w:pPr>
    </w:lvl>
  </w:abstractNum>
  <w:abstractNum w:abstractNumId="7">
    <w:nsid w:val="3105538C"/>
    <w:multiLevelType w:val="hybridMultilevel"/>
    <w:tmpl w:val="BDF02990"/>
    <w:lvl w:ilvl="0" w:tplc="80BC0BFA">
      <w:start w:val="13"/>
      <w:numFmt w:val="bullet"/>
      <w:lvlText w:val=""/>
      <w:lvlJc w:val="left"/>
      <w:pPr>
        <w:ind w:left="502" w:hanging="360"/>
      </w:pPr>
      <w:rPr>
        <w:rFonts w:ascii="Symbol" w:eastAsiaTheme="minorHAnsi" w:hAnsi="Symbol" w:cs="Calibri"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8">
    <w:nsid w:val="326F0E63"/>
    <w:multiLevelType w:val="multilevel"/>
    <w:tmpl w:val="04DAA286"/>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54651C1"/>
    <w:multiLevelType w:val="multilevel"/>
    <w:tmpl w:val="AF26C9DC"/>
    <w:lvl w:ilvl="0">
      <w:start w:val="1"/>
      <w:numFmt w:val="upperLetter"/>
      <w:lvlText w:val="%1."/>
      <w:lvlJc w:val="left"/>
      <w:pPr>
        <w:tabs>
          <w:tab w:val="num" w:pos="720"/>
        </w:tabs>
        <w:ind w:left="720" w:hanging="360"/>
      </w:pPr>
      <w:rPr>
        <w:b/>
        <w:bCs/>
      </w:r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0">
    <w:nsid w:val="4BDC01E1"/>
    <w:multiLevelType w:val="multilevel"/>
    <w:tmpl w:val="04DAA286"/>
    <w:lvl w:ilvl="0">
      <w:start w:val="2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0A156BA"/>
    <w:multiLevelType w:val="hybridMultilevel"/>
    <w:tmpl w:val="D14E539C"/>
    <w:lvl w:ilvl="0" w:tplc="40090017">
      <w:start w:val="1"/>
      <w:numFmt w:val="lowerLetter"/>
      <w:lvlText w:val="%1)"/>
      <w:lvlJc w:val="left"/>
      <w:pPr>
        <w:ind w:left="1350" w:hanging="360"/>
      </w:pPr>
    </w:lvl>
    <w:lvl w:ilvl="1" w:tplc="40090019" w:tentative="1">
      <w:start w:val="1"/>
      <w:numFmt w:val="lowerLetter"/>
      <w:lvlText w:val="%2."/>
      <w:lvlJc w:val="left"/>
      <w:pPr>
        <w:ind w:left="2070" w:hanging="360"/>
      </w:pPr>
    </w:lvl>
    <w:lvl w:ilvl="2" w:tplc="4009001B" w:tentative="1">
      <w:start w:val="1"/>
      <w:numFmt w:val="lowerRoman"/>
      <w:lvlText w:val="%3."/>
      <w:lvlJc w:val="right"/>
      <w:pPr>
        <w:ind w:left="2790" w:hanging="180"/>
      </w:pPr>
    </w:lvl>
    <w:lvl w:ilvl="3" w:tplc="4009000F" w:tentative="1">
      <w:start w:val="1"/>
      <w:numFmt w:val="decimal"/>
      <w:lvlText w:val="%4."/>
      <w:lvlJc w:val="left"/>
      <w:pPr>
        <w:ind w:left="3510" w:hanging="360"/>
      </w:pPr>
    </w:lvl>
    <w:lvl w:ilvl="4" w:tplc="40090019" w:tentative="1">
      <w:start w:val="1"/>
      <w:numFmt w:val="lowerLetter"/>
      <w:lvlText w:val="%5."/>
      <w:lvlJc w:val="left"/>
      <w:pPr>
        <w:ind w:left="4230" w:hanging="360"/>
      </w:pPr>
    </w:lvl>
    <w:lvl w:ilvl="5" w:tplc="4009001B" w:tentative="1">
      <w:start w:val="1"/>
      <w:numFmt w:val="lowerRoman"/>
      <w:lvlText w:val="%6."/>
      <w:lvlJc w:val="right"/>
      <w:pPr>
        <w:ind w:left="4950" w:hanging="180"/>
      </w:pPr>
    </w:lvl>
    <w:lvl w:ilvl="6" w:tplc="4009000F" w:tentative="1">
      <w:start w:val="1"/>
      <w:numFmt w:val="decimal"/>
      <w:lvlText w:val="%7."/>
      <w:lvlJc w:val="left"/>
      <w:pPr>
        <w:ind w:left="5670" w:hanging="360"/>
      </w:pPr>
    </w:lvl>
    <w:lvl w:ilvl="7" w:tplc="40090019" w:tentative="1">
      <w:start w:val="1"/>
      <w:numFmt w:val="lowerLetter"/>
      <w:lvlText w:val="%8."/>
      <w:lvlJc w:val="left"/>
      <w:pPr>
        <w:ind w:left="6390" w:hanging="360"/>
      </w:pPr>
    </w:lvl>
    <w:lvl w:ilvl="8" w:tplc="4009001B" w:tentative="1">
      <w:start w:val="1"/>
      <w:numFmt w:val="lowerRoman"/>
      <w:lvlText w:val="%9."/>
      <w:lvlJc w:val="right"/>
      <w:pPr>
        <w:ind w:left="7110" w:hanging="180"/>
      </w:pPr>
    </w:lvl>
  </w:abstractNum>
  <w:abstractNum w:abstractNumId="12">
    <w:nsid w:val="67B965E7"/>
    <w:multiLevelType w:val="multilevel"/>
    <w:tmpl w:val="79D66808"/>
    <w:lvl w:ilvl="0">
      <w:start w:val="29"/>
      <w:numFmt w:val="decimal"/>
      <w:lvlText w:val="%1."/>
      <w:lvlJc w:val="left"/>
      <w:pPr>
        <w:tabs>
          <w:tab w:val="num" w:pos="720"/>
        </w:tabs>
        <w:ind w:left="720" w:hanging="360"/>
      </w:pPr>
      <w:rPr>
        <w:rFonts w:ascii="Book Antiqua" w:hAnsi="Book Antiqua" w:hint="default"/>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F1300BA"/>
    <w:multiLevelType w:val="hybridMultilevel"/>
    <w:tmpl w:val="BD1EA842"/>
    <w:lvl w:ilvl="0" w:tplc="3E00D10E">
      <w:numFmt w:val="bullet"/>
      <w:lvlText w:val=""/>
      <w:lvlJc w:val="left"/>
      <w:pPr>
        <w:ind w:left="1069" w:hanging="360"/>
      </w:pPr>
      <w:rPr>
        <w:rFonts w:ascii="Symbol" w:eastAsiaTheme="minorHAnsi" w:hAnsi="Symbol" w:cs="Calibri"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14">
    <w:nsid w:val="70B94831"/>
    <w:multiLevelType w:val="multilevel"/>
    <w:tmpl w:val="B50621F8"/>
    <w:lvl w:ilvl="0">
      <w:start w:val="16"/>
      <w:numFmt w:val="decimal"/>
      <w:lvlText w:val="%1."/>
      <w:lvlJc w:val="left"/>
      <w:pPr>
        <w:tabs>
          <w:tab w:val="num" w:pos="720"/>
        </w:tabs>
        <w:ind w:left="720" w:hanging="360"/>
      </w:pPr>
      <w:rPr>
        <w:rFonts w:ascii="Book Antiqua" w:hAnsi="Book Antiqua"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AF7180F"/>
    <w:multiLevelType w:val="multilevel"/>
    <w:tmpl w:val="3684B250"/>
    <w:lvl w:ilvl="0">
      <w:start w:val="36"/>
      <w:numFmt w:val="decimal"/>
      <w:lvlText w:val="%1."/>
      <w:lvlJc w:val="left"/>
      <w:pPr>
        <w:tabs>
          <w:tab w:val="num" w:pos="720"/>
        </w:tabs>
        <w:ind w:left="720" w:hanging="360"/>
      </w:pPr>
      <w:rPr>
        <w:rFonts w:ascii="Book Antiqua" w:hAnsi="Book Antiqua"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B0835A3"/>
    <w:multiLevelType w:val="multilevel"/>
    <w:tmpl w:val="540E036E"/>
    <w:lvl w:ilvl="0">
      <w:start w:val="1"/>
      <w:numFmt w:val="decimal"/>
      <w:lvlText w:val="%1."/>
      <w:lvlJc w:val="left"/>
      <w:pPr>
        <w:tabs>
          <w:tab w:val="num" w:pos="720"/>
        </w:tabs>
        <w:ind w:left="720" w:hanging="360"/>
      </w:pPr>
      <w:rPr>
        <w:rFonts w:ascii="Book Antiqua" w:hAnsi="Book Antiqua" w:hint="default"/>
        <w:b/>
        <w:bCs/>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E9B5D70"/>
    <w:multiLevelType w:val="hybridMultilevel"/>
    <w:tmpl w:val="BD24807C"/>
    <w:lvl w:ilvl="0" w:tplc="3972315A">
      <w:numFmt w:val="bullet"/>
      <w:lvlText w:val="-"/>
      <w:lvlJc w:val="left"/>
      <w:pPr>
        <w:ind w:left="720" w:hanging="360"/>
      </w:pPr>
      <w:rPr>
        <w:rFonts w:ascii="Trebuchet MS" w:eastAsia="Times New Roman" w:hAnsi="Trebuchet MS"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3"/>
  </w:num>
  <w:num w:numId="17">
    <w:abstractNumId w:val="5"/>
  </w:num>
  <w:num w:numId="18">
    <w:abstractNumId w:val="4"/>
  </w:num>
  <w:num w:numId="19">
    <w:abstractNumId w:val="1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84217"/>
    <w:rsid w:val="00001312"/>
    <w:rsid w:val="00002724"/>
    <w:rsid w:val="00006F78"/>
    <w:rsid w:val="00007763"/>
    <w:rsid w:val="00012D19"/>
    <w:rsid w:val="00032678"/>
    <w:rsid w:val="000349C9"/>
    <w:rsid w:val="000357FD"/>
    <w:rsid w:val="0005518D"/>
    <w:rsid w:val="00076B91"/>
    <w:rsid w:val="00077FCA"/>
    <w:rsid w:val="00081187"/>
    <w:rsid w:val="00085DF7"/>
    <w:rsid w:val="0009292B"/>
    <w:rsid w:val="000B4E4F"/>
    <w:rsid w:val="000C28EA"/>
    <w:rsid w:val="000E23E9"/>
    <w:rsid w:val="000E4BCD"/>
    <w:rsid w:val="000E7F08"/>
    <w:rsid w:val="000F3253"/>
    <w:rsid w:val="00112B79"/>
    <w:rsid w:val="00132FD9"/>
    <w:rsid w:val="001336AF"/>
    <w:rsid w:val="0014686C"/>
    <w:rsid w:val="00150B59"/>
    <w:rsid w:val="00160C26"/>
    <w:rsid w:val="00173E3F"/>
    <w:rsid w:val="00187354"/>
    <w:rsid w:val="001A2215"/>
    <w:rsid w:val="001A2C0C"/>
    <w:rsid w:val="001B791D"/>
    <w:rsid w:val="001C1913"/>
    <w:rsid w:val="001E0CD1"/>
    <w:rsid w:val="001F5D0B"/>
    <w:rsid w:val="0020255D"/>
    <w:rsid w:val="00211D4D"/>
    <w:rsid w:val="00214E95"/>
    <w:rsid w:val="00237BAE"/>
    <w:rsid w:val="00247BCE"/>
    <w:rsid w:val="002506EA"/>
    <w:rsid w:val="00251A02"/>
    <w:rsid w:val="00255655"/>
    <w:rsid w:val="00265136"/>
    <w:rsid w:val="002809F1"/>
    <w:rsid w:val="002A16FB"/>
    <w:rsid w:val="002A32D7"/>
    <w:rsid w:val="002A7357"/>
    <w:rsid w:val="002A7580"/>
    <w:rsid w:val="002C4432"/>
    <w:rsid w:val="002D4021"/>
    <w:rsid w:val="002E189D"/>
    <w:rsid w:val="002E5E0B"/>
    <w:rsid w:val="002F0AAC"/>
    <w:rsid w:val="002F2E28"/>
    <w:rsid w:val="002F7EE8"/>
    <w:rsid w:val="00300C56"/>
    <w:rsid w:val="00302A2B"/>
    <w:rsid w:val="00303522"/>
    <w:rsid w:val="00303532"/>
    <w:rsid w:val="00305EDD"/>
    <w:rsid w:val="003223D4"/>
    <w:rsid w:val="003250A8"/>
    <w:rsid w:val="003255F2"/>
    <w:rsid w:val="0034750E"/>
    <w:rsid w:val="00380EF0"/>
    <w:rsid w:val="0038113A"/>
    <w:rsid w:val="00381DE4"/>
    <w:rsid w:val="0038626C"/>
    <w:rsid w:val="00386A49"/>
    <w:rsid w:val="003A0E45"/>
    <w:rsid w:val="003A679F"/>
    <w:rsid w:val="003C57E5"/>
    <w:rsid w:val="003D7E17"/>
    <w:rsid w:val="003E44E3"/>
    <w:rsid w:val="003E4D9B"/>
    <w:rsid w:val="004020A0"/>
    <w:rsid w:val="004021E7"/>
    <w:rsid w:val="004062D0"/>
    <w:rsid w:val="00413B86"/>
    <w:rsid w:val="00432021"/>
    <w:rsid w:val="00453ED1"/>
    <w:rsid w:val="00456723"/>
    <w:rsid w:val="00461069"/>
    <w:rsid w:val="00476E6F"/>
    <w:rsid w:val="0047700B"/>
    <w:rsid w:val="0048296E"/>
    <w:rsid w:val="00491083"/>
    <w:rsid w:val="004A23A4"/>
    <w:rsid w:val="004A7D16"/>
    <w:rsid w:val="004C0483"/>
    <w:rsid w:val="004C2287"/>
    <w:rsid w:val="004C5474"/>
    <w:rsid w:val="004C5E50"/>
    <w:rsid w:val="004D2307"/>
    <w:rsid w:val="004D5FE4"/>
    <w:rsid w:val="004E1CA1"/>
    <w:rsid w:val="004E2E92"/>
    <w:rsid w:val="004F2F73"/>
    <w:rsid w:val="00510712"/>
    <w:rsid w:val="00515D68"/>
    <w:rsid w:val="005269C9"/>
    <w:rsid w:val="00545361"/>
    <w:rsid w:val="00546DDC"/>
    <w:rsid w:val="00573426"/>
    <w:rsid w:val="00580D8E"/>
    <w:rsid w:val="00582307"/>
    <w:rsid w:val="005850DF"/>
    <w:rsid w:val="005A07FE"/>
    <w:rsid w:val="005C597E"/>
    <w:rsid w:val="005D19A2"/>
    <w:rsid w:val="005D21A5"/>
    <w:rsid w:val="005E0C67"/>
    <w:rsid w:val="005F053A"/>
    <w:rsid w:val="005F48ED"/>
    <w:rsid w:val="005F4E2F"/>
    <w:rsid w:val="005F7D3F"/>
    <w:rsid w:val="006011E9"/>
    <w:rsid w:val="00610EEA"/>
    <w:rsid w:val="006169D2"/>
    <w:rsid w:val="006216F6"/>
    <w:rsid w:val="00636655"/>
    <w:rsid w:val="006633A6"/>
    <w:rsid w:val="0068651F"/>
    <w:rsid w:val="00686C7D"/>
    <w:rsid w:val="0069046A"/>
    <w:rsid w:val="00692826"/>
    <w:rsid w:val="006B2E65"/>
    <w:rsid w:val="006C3B85"/>
    <w:rsid w:val="006E0501"/>
    <w:rsid w:val="006E258D"/>
    <w:rsid w:val="006F61F4"/>
    <w:rsid w:val="006F7067"/>
    <w:rsid w:val="007001E5"/>
    <w:rsid w:val="007132AB"/>
    <w:rsid w:val="00770C14"/>
    <w:rsid w:val="007710AA"/>
    <w:rsid w:val="00773260"/>
    <w:rsid w:val="00773C13"/>
    <w:rsid w:val="00784217"/>
    <w:rsid w:val="007A4DE8"/>
    <w:rsid w:val="007D4215"/>
    <w:rsid w:val="007F21BC"/>
    <w:rsid w:val="007F6029"/>
    <w:rsid w:val="008161D5"/>
    <w:rsid w:val="00826993"/>
    <w:rsid w:val="00836A3A"/>
    <w:rsid w:val="00842814"/>
    <w:rsid w:val="00857740"/>
    <w:rsid w:val="008637C9"/>
    <w:rsid w:val="00866979"/>
    <w:rsid w:val="008669EE"/>
    <w:rsid w:val="0086724B"/>
    <w:rsid w:val="00875B06"/>
    <w:rsid w:val="00881B55"/>
    <w:rsid w:val="00883CF7"/>
    <w:rsid w:val="008B3DF9"/>
    <w:rsid w:val="008B586A"/>
    <w:rsid w:val="008E4457"/>
    <w:rsid w:val="008E7304"/>
    <w:rsid w:val="009052D3"/>
    <w:rsid w:val="00911F51"/>
    <w:rsid w:val="00930547"/>
    <w:rsid w:val="00930F33"/>
    <w:rsid w:val="00954B9A"/>
    <w:rsid w:val="00967B41"/>
    <w:rsid w:val="0098014D"/>
    <w:rsid w:val="0099367D"/>
    <w:rsid w:val="009A100A"/>
    <w:rsid w:val="009B1864"/>
    <w:rsid w:val="009C77A9"/>
    <w:rsid w:val="00A12927"/>
    <w:rsid w:val="00A20677"/>
    <w:rsid w:val="00A25C26"/>
    <w:rsid w:val="00A25E3F"/>
    <w:rsid w:val="00A401A6"/>
    <w:rsid w:val="00A43C4E"/>
    <w:rsid w:val="00A568A9"/>
    <w:rsid w:val="00A81EE9"/>
    <w:rsid w:val="00A87140"/>
    <w:rsid w:val="00A93FA7"/>
    <w:rsid w:val="00A97101"/>
    <w:rsid w:val="00AA4962"/>
    <w:rsid w:val="00AD18C5"/>
    <w:rsid w:val="00AD3013"/>
    <w:rsid w:val="00AD3BA4"/>
    <w:rsid w:val="00AD6028"/>
    <w:rsid w:val="00AF104D"/>
    <w:rsid w:val="00B00498"/>
    <w:rsid w:val="00B11C86"/>
    <w:rsid w:val="00B12355"/>
    <w:rsid w:val="00B12DB6"/>
    <w:rsid w:val="00B35C90"/>
    <w:rsid w:val="00B3604E"/>
    <w:rsid w:val="00B377ED"/>
    <w:rsid w:val="00B44F5E"/>
    <w:rsid w:val="00B53278"/>
    <w:rsid w:val="00B547E7"/>
    <w:rsid w:val="00B57332"/>
    <w:rsid w:val="00B70940"/>
    <w:rsid w:val="00B80BC8"/>
    <w:rsid w:val="00B80F39"/>
    <w:rsid w:val="00B9373B"/>
    <w:rsid w:val="00B9383C"/>
    <w:rsid w:val="00BA1863"/>
    <w:rsid w:val="00BB57F2"/>
    <w:rsid w:val="00BB73FC"/>
    <w:rsid w:val="00BC1AFB"/>
    <w:rsid w:val="00BC488A"/>
    <w:rsid w:val="00BE42AD"/>
    <w:rsid w:val="00BF143B"/>
    <w:rsid w:val="00BF3BF9"/>
    <w:rsid w:val="00BF51EC"/>
    <w:rsid w:val="00C14237"/>
    <w:rsid w:val="00C244F6"/>
    <w:rsid w:val="00C376CC"/>
    <w:rsid w:val="00C63E54"/>
    <w:rsid w:val="00C704A3"/>
    <w:rsid w:val="00C70F39"/>
    <w:rsid w:val="00C77F6F"/>
    <w:rsid w:val="00C810B7"/>
    <w:rsid w:val="00C82A7A"/>
    <w:rsid w:val="00C856C0"/>
    <w:rsid w:val="00C96F81"/>
    <w:rsid w:val="00CC1E4C"/>
    <w:rsid w:val="00CC7921"/>
    <w:rsid w:val="00CD3A26"/>
    <w:rsid w:val="00CD4C37"/>
    <w:rsid w:val="00CE043B"/>
    <w:rsid w:val="00CE416F"/>
    <w:rsid w:val="00D0291D"/>
    <w:rsid w:val="00D1190D"/>
    <w:rsid w:val="00D155AA"/>
    <w:rsid w:val="00D20D68"/>
    <w:rsid w:val="00D2208E"/>
    <w:rsid w:val="00D2659E"/>
    <w:rsid w:val="00D30066"/>
    <w:rsid w:val="00D41DC2"/>
    <w:rsid w:val="00D463D9"/>
    <w:rsid w:val="00D55A4D"/>
    <w:rsid w:val="00D56181"/>
    <w:rsid w:val="00D6562F"/>
    <w:rsid w:val="00D70F0D"/>
    <w:rsid w:val="00D72A2B"/>
    <w:rsid w:val="00D7789B"/>
    <w:rsid w:val="00D9146F"/>
    <w:rsid w:val="00DA11A9"/>
    <w:rsid w:val="00DE63F2"/>
    <w:rsid w:val="00DF3F72"/>
    <w:rsid w:val="00E00FE1"/>
    <w:rsid w:val="00E01DE6"/>
    <w:rsid w:val="00E22E4A"/>
    <w:rsid w:val="00E25147"/>
    <w:rsid w:val="00E30973"/>
    <w:rsid w:val="00E34960"/>
    <w:rsid w:val="00E4575A"/>
    <w:rsid w:val="00E45CC1"/>
    <w:rsid w:val="00E52C36"/>
    <w:rsid w:val="00E57F3B"/>
    <w:rsid w:val="00E60EED"/>
    <w:rsid w:val="00E970E8"/>
    <w:rsid w:val="00E971EF"/>
    <w:rsid w:val="00EA21A0"/>
    <w:rsid w:val="00EA2415"/>
    <w:rsid w:val="00EA5B42"/>
    <w:rsid w:val="00EE184E"/>
    <w:rsid w:val="00EF3F61"/>
    <w:rsid w:val="00EF65BC"/>
    <w:rsid w:val="00F2099E"/>
    <w:rsid w:val="00F26BE7"/>
    <w:rsid w:val="00F4441F"/>
    <w:rsid w:val="00F62A81"/>
    <w:rsid w:val="00F72937"/>
    <w:rsid w:val="00F82199"/>
    <w:rsid w:val="00F857ED"/>
    <w:rsid w:val="00FA6F90"/>
    <w:rsid w:val="00FB1ECA"/>
    <w:rsid w:val="00FC62F5"/>
    <w:rsid w:val="00FE0324"/>
    <w:rsid w:val="00FE7AAA"/>
    <w:rsid w:val="00FF0A35"/>
    <w:rsid w:val="00FF0BB9"/>
    <w:rsid w:val="00FF14B8"/>
    <w:rsid w:val="00FF7D9D"/>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0A0"/>
    <w:pPr>
      <w:spacing w:after="0" w:line="240" w:lineRule="auto"/>
    </w:pPr>
    <w:rPr>
      <w:rFonts w:ascii="Calibri" w:hAnsi="Calibri" w:cs="Calibri"/>
      <w:sz w:val="24"/>
      <w:szCs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3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361"/>
    <w:rPr>
      <w:rFonts w:ascii="Segoe UI" w:hAnsi="Segoe UI" w:cs="Segoe UI"/>
      <w:sz w:val="18"/>
      <w:szCs w:val="18"/>
      <w:lang w:val="en-IN"/>
    </w:rPr>
  </w:style>
  <w:style w:type="character" w:customStyle="1" w:styleId="ListParagraphChar">
    <w:name w:val="List Paragraph Char"/>
    <w:aliases w:val="Resume Title Char,Citation List Char,heading 4 Char,Graphic Char,List Paragraph1 Char,1st level - Bullet List Paragraph Char,Lettre d'introduction Char,Paragrafo elenco Char,Bullet list Char,C-Change Char"/>
    <w:basedOn w:val="DefaultParagraphFont"/>
    <w:link w:val="ListParagraph"/>
    <w:uiPriority w:val="34"/>
    <w:locked/>
    <w:rsid w:val="000349C9"/>
  </w:style>
  <w:style w:type="paragraph" w:styleId="ListParagraph">
    <w:name w:val="List Paragraph"/>
    <w:aliases w:val="Resume Title,Citation List,heading 4,Graphic,List Paragraph1,1st level - Bullet List Paragraph,Lettre d'introduction,Paragrafo elenco,Bullet list,C-Change,List Paragraph_Table bullets"/>
    <w:basedOn w:val="Normal"/>
    <w:link w:val="ListParagraphChar"/>
    <w:uiPriority w:val="34"/>
    <w:qFormat/>
    <w:rsid w:val="000349C9"/>
    <w:pPr>
      <w:spacing w:after="200" w:line="276" w:lineRule="auto"/>
      <w:ind w:left="720"/>
    </w:pPr>
    <w:rPr>
      <w:rFonts w:asciiTheme="minorHAnsi" w:hAnsiTheme="minorHAnsi" w:cstheme="minorBidi"/>
      <w:sz w:val="22"/>
      <w:szCs w:val="22"/>
      <w:lang w:val="en-US"/>
    </w:rPr>
  </w:style>
  <w:style w:type="table" w:styleId="TableGrid">
    <w:name w:val="Table Grid"/>
    <w:basedOn w:val="TableNormal"/>
    <w:uiPriority w:val="59"/>
    <w:rsid w:val="002F2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F3F61"/>
    <w:rPr>
      <w:sz w:val="16"/>
      <w:szCs w:val="16"/>
    </w:rPr>
  </w:style>
  <w:style w:type="paragraph" w:styleId="CommentText">
    <w:name w:val="annotation text"/>
    <w:basedOn w:val="Normal"/>
    <w:link w:val="CommentTextChar"/>
    <w:uiPriority w:val="99"/>
    <w:semiHidden/>
    <w:unhideWhenUsed/>
    <w:rsid w:val="00EF3F61"/>
    <w:rPr>
      <w:sz w:val="20"/>
      <w:szCs w:val="20"/>
    </w:rPr>
  </w:style>
  <w:style w:type="character" w:customStyle="1" w:styleId="CommentTextChar">
    <w:name w:val="Comment Text Char"/>
    <w:basedOn w:val="DefaultParagraphFont"/>
    <w:link w:val="CommentText"/>
    <w:uiPriority w:val="99"/>
    <w:semiHidden/>
    <w:rsid w:val="00EF3F61"/>
    <w:rPr>
      <w:rFonts w:ascii="Calibri" w:hAnsi="Calibri" w:cs="Calibri"/>
      <w:sz w:val="20"/>
      <w:szCs w:val="20"/>
      <w:lang w:val="en-IN"/>
    </w:rPr>
  </w:style>
  <w:style w:type="paragraph" w:styleId="CommentSubject">
    <w:name w:val="annotation subject"/>
    <w:basedOn w:val="CommentText"/>
    <w:next w:val="CommentText"/>
    <w:link w:val="CommentSubjectChar"/>
    <w:uiPriority w:val="99"/>
    <w:semiHidden/>
    <w:unhideWhenUsed/>
    <w:rsid w:val="00EF3F61"/>
    <w:rPr>
      <w:b/>
      <w:bCs/>
    </w:rPr>
  </w:style>
  <w:style w:type="character" w:customStyle="1" w:styleId="CommentSubjectChar">
    <w:name w:val="Comment Subject Char"/>
    <w:basedOn w:val="CommentTextChar"/>
    <w:link w:val="CommentSubject"/>
    <w:uiPriority w:val="99"/>
    <w:semiHidden/>
    <w:rsid w:val="00EF3F61"/>
    <w:rPr>
      <w:rFonts w:ascii="Calibri" w:hAnsi="Calibri" w:cs="Calibri"/>
      <w:b/>
      <w:bCs/>
      <w:sz w:val="20"/>
      <w:szCs w:val="20"/>
      <w:lang w:val="en-IN"/>
    </w:rPr>
  </w:style>
  <w:style w:type="paragraph" w:styleId="Header">
    <w:name w:val="header"/>
    <w:basedOn w:val="Normal"/>
    <w:link w:val="HeaderChar"/>
    <w:uiPriority w:val="99"/>
    <w:unhideWhenUsed/>
    <w:rsid w:val="00D41DC2"/>
    <w:pPr>
      <w:tabs>
        <w:tab w:val="center" w:pos="4513"/>
        <w:tab w:val="right" w:pos="9026"/>
      </w:tabs>
    </w:pPr>
  </w:style>
  <w:style w:type="character" w:customStyle="1" w:styleId="HeaderChar">
    <w:name w:val="Header Char"/>
    <w:basedOn w:val="DefaultParagraphFont"/>
    <w:link w:val="Header"/>
    <w:uiPriority w:val="99"/>
    <w:rsid w:val="00D41DC2"/>
    <w:rPr>
      <w:rFonts w:ascii="Calibri" w:hAnsi="Calibri" w:cs="Calibri"/>
      <w:sz w:val="24"/>
      <w:szCs w:val="24"/>
      <w:lang w:val="en-IN"/>
    </w:rPr>
  </w:style>
  <w:style w:type="paragraph" w:styleId="Footer">
    <w:name w:val="footer"/>
    <w:basedOn w:val="Normal"/>
    <w:link w:val="FooterChar"/>
    <w:uiPriority w:val="99"/>
    <w:unhideWhenUsed/>
    <w:rsid w:val="00D41DC2"/>
    <w:pPr>
      <w:tabs>
        <w:tab w:val="center" w:pos="4513"/>
        <w:tab w:val="right" w:pos="9026"/>
      </w:tabs>
    </w:pPr>
  </w:style>
  <w:style w:type="character" w:customStyle="1" w:styleId="FooterChar">
    <w:name w:val="Footer Char"/>
    <w:basedOn w:val="DefaultParagraphFont"/>
    <w:link w:val="Footer"/>
    <w:uiPriority w:val="99"/>
    <w:rsid w:val="00D41DC2"/>
    <w:rPr>
      <w:rFonts w:ascii="Calibri" w:hAnsi="Calibri" w:cs="Calibri"/>
      <w:sz w:val="24"/>
      <w:szCs w:val="24"/>
      <w:lang w:val="en-IN"/>
    </w:rPr>
  </w:style>
  <w:style w:type="paragraph" w:customStyle="1" w:styleId="Default">
    <w:name w:val="Default"/>
    <w:rsid w:val="005A07F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4090688">
      <w:bodyDiv w:val="1"/>
      <w:marLeft w:val="0"/>
      <w:marRight w:val="0"/>
      <w:marTop w:val="0"/>
      <w:marBottom w:val="0"/>
      <w:divBdr>
        <w:top w:val="none" w:sz="0" w:space="0" w:color="auto"/>
        <w:left w:val="none" w:sz="0" w:space="0" w:color="auto"/>
        <w:bottom w:val="none" w:sz="0" w:space="0" w:color="auto"/>
        <w:right w:val="none" w:sz="0" w:space="0" w:color="auto"/>
      </w:divBdr>
    </w:div>
    <w:div w:id="456996910">
      <w:bodyDiv w:val="1"/>
      <w:marLeft w:val="0"/>
      <w:marRight w:val="0"/>
      <w:marTop w:val="0"/>
      <w:marBottom w:val="0"/>
      <w:divBdr>
        <w:top w:val="none" w:sz="0" w:space="0" w:color="auto"/>
        <w:left w:val="none" w:sz="0" w:space="0" w:color="auto"/>
        <w:bottom w:val="none" w:sz="0" w:space="0" w:color="auto"/>
        <w:right w:val="none" w:sz="0" w:space="0" w:color="auto"/>
      </w:divBdr>
    </w:div>
    <w:div w:id="582951324">
      <w:bodyDiv w:val="1"/>
      <w:marLeft w:val="0"/>
      <w:marRight w:val="0"/>
      <w:marTop w:val="0"/>
      <w:marBottom w:val="0"/>
      <w:divBdr>
        <w:top w:val="none" w:sz="0" w:space="0" w:color="auto"/>
        <w:left w:val="none" w:sz="0" w:space="0" w:color="auto"/>
        <w:bottom w:val="none" w:sz="0" w:space="0" w:color="auto"/>
        <w:right w:val="none" w:sz="0" w:space="0" w:color="auto"/>
      </w:divBdr>
    </w:div>
    <w:div w:id="698353423">
      <w:bodyDiv w:val="1"/>
      <w:marLeft w:val="0"/>
      <w:marRight w:val="0"/>
      <w:marTop w:val="0"/>
      <w:marBottom w:val="0"/>
      <w:divBdr>
        <w:top w:val="none" w:sz="0" w:space="0" w:color="auto"/>
        <w:left w:val="none" w:sz="0" w:space="0" w:color="auto"/>
        <w:bottom w:val="none" w:sz="0" w:space="0" w:color="auto"/>
        <w:right w:val="none" w:sz="0" w:space="0" w:color="auto"/>
      </w:divBdr>
    </w:div>
    <w:div w:id="864362588">
      <w:bodyDiv w:val="1"/>
      <w:marLeft w:val="0"/>
      <w:marRight w:val="0"/>
      <w:marTop w:val="0"/>
      <w:marBottom w:val="0"/>
      <w:divBdr>
        <w:top w:val="none" w:sz="0" w:space="0" w:color="auto"/>
        <w:left w:val="none" w:sz="0" w:space="0" w:color="auto"/>
        <w:bottom w:val="none" w:sz="0" w:space="0" w:color="auto"/>
        <w:right w:val="none" w:sz="0" w:space="0" w:color="auto"/>
      </w:divBdr>
    </w:div>
    <w:div w:id="978077757">
      <w:bodyDiv w:val="1"/>
      <w:marLeft w:val="0"/>
      <w:marRight w:val="0"/>
      <w:marTop w:val="0"/>
      <w:marBottom w:val="0"/>
      <w:divBdr>
        <w:top w:val="none" w:sz="0" w:space="0" w:color="auto"/>
        <w:left w:val="none" w:sz="0" w:space="0" w:color="auto"/>
        <w:bottom w:val="none" w:sz="0" w:space="0" w:color="auto"/>
        <w:right w:val="none" w:sz="0" w:space="0" w:color="auto"/>
      </w:divBdr>
    </w:div>
    <w:div w:id="1078015041">
      <w:bodyDiv w:val="1"/>
      <w:marLeft w:val="0"/>
      <w:marRight w:val="0"/>
      <w:marTop w:val="0"/>
      <w:marBottom w:val="0"/>
      <w:divBdr>
        <w:top w:val="none" w:sz="0" w:space="0" w:color="auto"/>
        <w:left w:val="none" w:sz="0" w:space="0" w:color="auto"/>
        <w:bottom w:val="none" w:sz="0" w:space="0" w:color="auto"/>
        <w:right w:val="none" w:sz="0" w:space="0" w:color="auto"/>
      </w:divBdr>
    </w:div>
    <w:div w:id="1089155054">
      <w:bodyDiv w:val="1"/>
      <w:marLeft w:val="0"/>
      <w:marRight w:val="0"/>
      <w:marTop w:val="0"/>
      <w:marBottom w:val="0"/>
      <w:divBdr>
        <w:top w:val="none" w:sz="0" w:space="0" w:color="auto"/>
        <w:left w:val="none" w:sz="0" w:space="0" w:color="auto"/>
        <w:bottom w:val="none" w:sz="0" w:space="0" w:color="auto"/>
        <w:right w:val="none" w:sz="0" w:space="0" w:color="auto"/>
      </w:divBdr>
    </w:div>
    <w:div w:id="1489398627">
      <w:bodyDiv w:val="1"/>
      <w:marLeft w:val="0"/>
      <w:marRight w:val="0"/>
      <w:marTop w:val="0"/>
      <w:marBottom w:val="0"/>
      <w:divBdr>
        <w:top w:val="none" w:sz="0" w:space="0" w:color="auto"/>
        <w:left w:val="none" w:sz="0" w:space="0" w:color="auto"/>
        <w:bottom w:val="none" w:sz="0" w:space="0" w:color="auto"/>
        <w:right w:val="none" w:sz="0" w:space="0" w:color="auto"/>
      </w:divBdr>
    </w:div>
    <w:div w:id="1531727630">
      <w:bodyDiv w:val="1"/>
      <w:marLeft w:val="0"/>
      <w:marRight w:val="0"/>
      <w:marTop w:val="0"/>
      <w:marBottom w:val="0"/>
      <w:divBdr>
        <w:top w:val="none" w:sz="0" w:space="0" w:color="auto"/>
        <w:left w:val="none" w:sz="0" w:space="0" w:color="auto"/>
        <w:bottom w:val="none" w:sz="0" w:space="0" w:color="auto"/>
        <w:right w:val="none" w:sz="0" w:space="0" w:color="auto"/>
      </w:divBdr>
    </w:div>
    <w:div w:id="1552037970">
      <w:bodyDiv w:val="1"/>
      <w:marLeft w:val="0"/>
      <w:marRight w:val="0"/>
      <w:marTop w:val="0"/>
      <w:marBottom w:val="0"/>
      <w:divBdr>
        <w:top w:val="none" w:sz="0" w:space="0" w:color="auto"/>
        <w:left w:val="none" w:sz="0" w:space="0" w:color="auto"/>
        <w:bottom w:val="none" w:sz="0" w:space="0" w:color="auto"/>
        <w:right w:val="none" w:sz="0" w:space="0" w:color="auto"/>
      </w:divBdr>
    </w:div>
    <w:div w:id="170350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ECCCC-8D4C-497F-80C6-760151B37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22</Pages>
  <Words>6460</Words>
  <Characters>36825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Avdhoot Arvind Bane</dc:creator>
  <cp:keywords/>
  <dc:description/>
  <cp:lastModifiedBy>vhchaudhary11489</cp:lastModifiedBy>
  <cp:revision>28</cp:revision>
  <cp:lastPrinted>2020-01-16T06:12:00Z</cp:lastPrinted>
  <dcterms:created xsi:type="dcterms:W3CDTF">2020-01-16T06:16:00Z</dcterms:created>
  <dcterms:modified xsi:type="dcterms:W3CDTF">2020-01-24T11:32:00Z</dcterms:modified>
</cp:coreProperties>
</file>